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36F65C41"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571279">
        <w:rPr>
          <w:bCs/>
          <w:noProof w:val="0"/>
          <w:sz w:val="24"/>
          <w:szCs w:val="24"/>
        </w:rPr>
        <w:t>2</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20</w:t>
      </w:r>
      <w:r w:rsidR="00253190">
        <w:rPr>
          <w:bCs/>
          <w:noProof w:val="0"/>
          <w:sz w:val="24"/>
          <w:szCs w:val="24"/>
        </w:rPr>
        <w:t>09988</w:t>
      </w:r>
    </w:p>
    <w:p w14:paraId="11776FA6" w14:textId="4793012E" w:rsidR="00A209D6" w:rsidRPr="00465587" w:rsidRDefault="009928A9" w:rsidP="00A209D6">
      <w:pPr>
        <w:pStyle w:val="Header"/>
        <w:tabs>
          <w:tab w:val="right" w:pos="9639"/>
        </w:tabs>
        <w:rPr>
          <w:bCs/>
          <w:sz w:val="24"/>
          <w:szCs w:val="24"/>
          <w:lang w:eastAsia="zh-CN"/>
        </w:rPr>
      </w:pPr>
      <w:r>
        <w:rPr>
          <w:bCs/>
          <w:sz w:val="24"/>
          <w:szCs w:val="24"/>
          <w:lang w:eastAsia="zh-CN"/>
        </w:rPr>
        <w:t>Elbonia</w:t>
      </w:r>
      <w:r w:rsidR="006574C0" w:rsidRPr="006574C0">
        <w:rPr>
          <w:bCs/>
          <w:sz w:val="24"/>
          <w:szCs w:val="24"/>
          <w:lang w:eastAsia="zh-CN"/>
        </w:rPr>
        <w:t xml:space="preserve">, </w:t>
      </w:r>
      <w:r w:rsidR="00696821">
        <w:rPr>
          <w:bCs/>
          <w:sz w:val="24"/>
          <w:szCs w:val="24"/>
          <w:lang w:eastAsia="zh-CN"/>
        </w:rPr>
        <w:t>02</w:t>
      </w:r>
      <w:r w:rsidR="006574C0" w:rsidRPr="006574C0">
        <w:rPr>
          <w:bCs/>
          <w:sz w:val="24"/>
          <w:szCs w:val="24"/>
          <w:lang w:eastAsia="zh-CN"/>
        </w:rPr>
        <w:t xml:space="preserve"> – </w:t>
      </w:r>
      <w:r w:rsidR="00696821">
        <w:rPr>
          <w:bCs/>
          <w:sz w:val="24"/>
          <w:szCs w:val="24"/>
          <w:lang w:eastAsia="zh-CN"/>
        </w:rPr>
        <w:t>13</w:t>
      </w:r>
      <w:r w:rsidR="006574C0" w:rsidRPr="006574C0">
        <w:rPr>
          <w:bCs/>
          <w:sz w:val="24"/>
          <w:szCs w:val="24"/>
          <w:lang w:eastAsia="zh-CN"/>
        </w:rPr>
        <w:t xml:space="preserve"> </w:t>
      </w:r>
      <w:r w:rsidR="00696821">
        <w:rPr>
          <w:bCs/>
          <w:sz w:val="24"/>
          <w:szCs w:val="24"/>
          <w:lang w:eastAsia="zh-CN"/>
        </w:rPr>
        <w:t>November</w:t>
      </w:r>
      <w:r w:rsidR="006574C0" w:rsidRPr="006574C0">
        <w:rPr>
          <w:bCs/>
          <w:sz w:val="24"/>
          <w:szCs w:val="24"/>
          <w:lang w:eastAsia="zh-CN"/>
        </w:rPr>
        <w:t xml:space="preserve"> 20</w:t>
      </w:r>
      <w:r w:rsidR="009376CD">
        <w:rPr>
          <w:bCs/>
          <w:sz w:val="24"/>
          <w:szCs w:val="24"/>
          <w:lang w:eastAsia="zh-CN"/>
        </w:rPr>
        <w:t>20</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44E6EE79"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E022B">
        <w:rPr>
          <w:rFonts w:cs="Arial"/>
          <w:b/>
          <w:bCs/>
          <w:sz w:val="24"/>
          <w:lang w:eastAsia="ja-JP"/>
        </w:rPr>
        <w:t>9</w:t>
      </w:r>
      <w:r>
        <w:rPr>
          <w:rFonts w:cs="Arial"/>
          <w:b/>
          <w:bCs/>
          <w:sz w:val="24"/>
          <w:lang w:eastAsia="ja-JP"/>
        </w:rPr>
        <w:t>.</w:t>
      </w:r>
      <w:r w:rsidR="00CD348F">
        <w:rPr>
          <w:rFonts w:cs="Arial"/>
          <w:b/>
          <w:bCs/>
          <w:sz w:val="24"/>
          <w:lang w:eastAsia="ja-JP"/>
        </w:rPr>
        <w:t>2</w:t>
      </w:r>
      <w:r>
        <w:rPr>
          <w:rFonts w:cs="Arial"/>
          <w:b/>
          <w:bCs/>
          <w:sz w:val="24"/>
          <w:lang w:eastAsia="ja-JP"/>
        </w:rPr>
        <w:t>.</w:t>
      </w:r>
      <w:r w:rsidR="009E022B">
        <w:rPr>
          <w:rFonts w:cs="Arial"/>
          <w:b/>
          <w:bCs/>
          <w:sz w:val="24"/>
          <w:lang w:eastAsia="ja-JP"/>
        </w:rPr>
        <w:t>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7668C07A"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82F73">
        <w:rPr>
          <w:rFonts w:ascii="Arial" w:hAnsi="Arial" w:cs="Arial"/>
          <w:b/>
          <w:bCs/>
          <w:sz w:val="24"/>
        </w:rPr>
        <w:t>NB-IoT/eMTC features and a</w:t>
      </w:r>
      <w:r w:rsidR="009E022B" w:rsidRPr="009E022B">
        <w:rPr>
          <w:rFonts w:ascii="Arial" w:hAnsi="Arial" w:cs="Arial"/>
          <w:b/>
          <w:bCs/>
          <w:sz w:val="24"/>
        </w:rPr>
        <w:t xml:space="preserve">pplicability of NR NTN solutions </w:t>
      </w:r>
      <w:r w:rsidR="000A0829">
        <w:rPr>
          <w:rFonts w:ascii="Arial" w:hAnsi="Arial" w:cs="Arial"/>
          <w:b/>
          <w:bCs/>
          <w:sz w:val="24"/>
        </w:rPr>
        <w:t>for</w:t>
      </w:r>
      <w:r w:rsidR="009E022B" w:rsidRPr="009E022B">
        <w:rPr>
          <w:rFonts w:ascii="Arial" w:hAnsi="Arial" w:cs="Arial"/>
          <w:b/>
          <w:bCs/>
          <w:sz w:val="24"/>
        </w:rPr>
        <w:t xml:space="preserve"> IoT </w:t>
      </w:r>
      <w:r w:rsidR="009E022B">
        <w:rPr>
          <w:rFonts w:ascii="Arial" w:hAnsi="Arial" w:cs="Arial"/>
          <w:b/>
          <w:bCs/>
          <w:sz w:val="24"/>
        </w:rPr>
        <w:t xml:space="preserve">over </w:t>
      </w:r>
      <w:r w:rsidR="009E022B" w:rsidRPr="009E022B">
        <w:rPr>
          <w:rFonts w:ascii="Arial" w:hAnsi="Arial" w:cs="Arial"/>
          <w:b/>
          <w:bCs/>
          <w:sz w:val="24"/>
        </w:rPr>
        <w:t>NTN</w:t>
      </w:r>
    </w:p>
    <w:p w14:paraId="1F147C23" w14:textId="34942FD5"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D51098" w:rsidRPr="00D51098">
        <w:rPr>
          <w:rFonts w:ascii="Arial" w:hAnsi="Arial" w:cs="Arial"/>
          <w:b/>
          <w:bCs/>
          <w:sz w:val="24"/>
        </w:rPr>
        <w:t>FS_LTE_NBIOT_eMTC_NTN</w:t>
      </w:r>
      <w:r w:rsidRPr="00112F1A">
        <w:rPr>
          <w:rFonts w:ascii="Arial" w:hAnsi="Arial" w:cs="Arial"/>
          <w:b/>
          <w:bCs/>
          <w:sz w:val="24"/>
        </w:rPr>
        <w:t xml:space="preserve"> </w:t>
      </w:r>
      <w:r>
        <w:rPr>
          <w:rFonts w:ascii="Arial" w:hAnsi="Arial" w:cs="Arial"/>
          <w:b/>
          <w:bCs/>
          <w:sz w:val="24"/>
        </w:rPr>
        <w:t xml:space="preserve">- Release </w:t>
      </w:r>
      <w:r w:rsidR="00D51098">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BFC2DA3" w14:textId="68BF49A2" w:rsidR="00950237" w:rsidRPr="00950237" w:rsidRDefault="00F06F2F" w:rsidP="00950237">
      <w:pPr>
        <w:pStyle w:val="paragraph"/>
        <w:textAlignment w:val="baseline"/>
        <w:rPr>
          <w:sz w:val="20"/>
          <w:szCs w:val="20"/>
          <w:lang w:val="en-GB" w:eastAsia="en-US"/>
        </w:rPr>
      </w:pPr>
      <w:r>
        <w:rPr>
          <w:sz w:val="20"/>
          <w:szCs w:val="20"/>
          <w:lang w:eastAsia="en-US"/>
        </w:rPr>
        <w:t xml:space="preserve">To support </w:t>
      </w:r>
      <w:r w:rsidRPr="00950237">
        <w:rPr>
          <w:sz w:val="20"/>
          <w:szCs w:val="20"/>
          <w:lang w:eastAsia="en-US"/>
        </w:rPr>
        <w:t xml:space="preserve">NB-IoT/eMTC </w:t>
      </w:r>
      <w:r>
        <w:rPr>
          <w:sz w:val="20"/>
          <w:szCs w:val="20"/>
          <w:lang w:eastAsia="en-US"/>
        </w:rPr>
        <w:t>over</w:t>
      </w:r>
      <w:r w:rsidRPr="00950237">
        <w:rPr>
          <w:sz w:val="20"/>
          <w:szCs w:val="20"/>
          <w:lang w:eastAsia="en-US"/>
        </w:rPr>
        <w:t xml:space="preserve"> non-terrestrial networks</w:t>
      </w:r>
      <w:r>
        <w:rPr>
          <w:sz w:val="20"/>
          <w:szCs w:val="20"/>
          <w:lang w:eastAsia="en-US"/>
        </w:rPr>
        <w:t>, t</w:t>
      </w:r>
      <w:r w:rsidR="00950237" w:rsidRPr="00950237">
        <w:rPr>
          <w:sz w:val="20"/>
          <w:szCs w:val="20"/>
          <w:lang w:eastAsia="en-US"/>
        </w:rPr>
        <w:t xml:space="preserve">he study item </w:t>
      </w:r>
      <w:r w:rsidR="00075E02" w:rsidRPr="00950237">
        <w:rPr>
          <w:sz w:val="20"/>
          <w:szCs w:val="20"/>
          <w:lang w:eastAsia="en-US"/>
        </w:rPr>
        <w:t>description</w:t>
      </w:r>
      <w:r w:rsidR="00075E02">
        <w:rPr>
          <w:sz w:val="20"/>
          <w:szCs w:val="20"/>
          <w:lang w:eastAsia="en-US"/>
        </w:rPr>
        <w:t xml:space="preserve"> [</w:t>
      </w:r>
      <w:r>
        <w:rPr>
          <w:sz w:val="20"/>
          <w:szCs w:val="20"/>
          <w:lang w:eastAsia="en-US"/>
        </w:rPr>
        <w:t>1] defi</w:t>
      </w:r>
      <w:r w:rsidR="00950237" w:rsidRPr="00950237">
        <w:rPr>
          <w:sz w:val="20"/>
          <w:szCs w:val="20"/>
          <w:lang w:eastAsia="en-US"/>
        </w:rPr>
        <w:t xml:space="preserve">ned the following </w:t>
      </w:r>
      <w:r w:rsidR="00950237">
        <w:rPr>
          <w:sz w:val="20"/>
          <w:szCs w:val="20"/>
          <w:lang w:eastAsia="en-US"/>
        </w:rPr>
        <w:t xml:space="preserve">second </w:t>
      </w:r>
      <w:r w:rsidR="00950237" w:rsidRPr="00950237">
        <w:rPr>
          <w:sz w:val="20"/>
          <w:szCs w:val="20"/>
          <w:lang w:eastAsia="en-US"/>
        </w:rPr>
        <w:t>objective</w:t>
      </w:r>
      <w:r w:rsidR="00950237" w:rsidRPr="00950237">
        <w:rPr>
          <w:sz w:val="20"/>
          <w:szCs w:val="20"/>
          <w:lang w:val="en-GB" w:eastAsia="en-US"/>
        </w:rPr>
        <w:t xml:space="preserve">. </w:t>
      </w:r>
    </w:p>
    <w:tbl>
      <w:tblPr>
        <w:tblStyle w:val="TableGrid"/>
        <w:tblW w:w="0" w:type="auto"/>
        <w:tblLook w:val="04A0" w:firstRow="1" w:lastRow="0" w:firstColumn="1" w:lastColumn="0" w:noHBand="0" w:noVBand="1"/>
      </w:tblPr>
      <w:tblGrid>
        <w:gridCol w:w="9631"/>
      </w:tblGrid>
      <w:tr w:rsidR="00950237" w14:paraId="6547B893" w14:textId="77777777" w:rsidTr="00950237">
        <w:tc>
          <w:tcPr>
            <w:tcW w:w="9631" w:type="dxa"/>
          </w:tcPr>
          <w:p w14:paraId="0B80D8F1" w14:textId="77777777" w:rsidR="00950237" w:rsidRPr="000C1B5A" w:rsidRDefault="00950237" w:rsidP="00950237">
            <w:r w:rsidRPr="000C1B5A">
              <w:t xml:space="preserve">The second objective is, for the above identified scenarios, to study and recommend necessary changes to support NB-IoT and eMTC over satellite, reusing as much as possible the conclusions of the studies performed for NR NTN in TR38.821. This objective will address the following items: </w:t>
            </w:r>
          </w:p>
          <w:p w14:paraId="690F3A7D" w14:textId="77777777" w:rsidR="00950237" w:rsidRPr="000C1B5A" w:rsidRDefault="00950237" w:rsidP="00950237">
            <w:pPr>
              <w:pStyle w:val="B1"/>
            </w:pPr>
            <w:r w:rsidRPr="000C1B5A">
              <w:t>-</w:t>
            </w:r>
            <w:r w:rsidRPr="000C1B5A">
              <w:tab/>
              <w:t>Aspects related to random access procedure/signals [RAN1, RAN2]</w:t>
            </w:r>
          </w:p>
          <w:p w14:paraId="0843BC4F" w14:textId="77777777" w:rsidR="00950237" w:rsidRPr="000C1B5A" w:rsidRDefault="00950237" w:rsidP="00950237">
            <w:pPr>
              <w:pStyle w:val="B1"/>
            </w:pPr>
            <w:r w:rsidRPr="000C1B5A">
              <w:t>-</w:t>
            </w:r>
            <w:r w:rsidRPr="000C1B5A">
              <w:tab/>
              <w:t>Mechanisms for time/frequency adjustment including Timing Advance, and UL fre</w:t>
            </w:r>
            <w:r>
              <w:t xml:space="preserve">quency compensation indication </w:t>
            </w:r>
            <w:r w:rsidRPr="000C1B5A">
              <w:t>[RAN1, RAN2]</w:t>
            </w:r>
          </w:p>
          <w:p w14:paraId="299BCF95" w14:textId="77777777" w:rsidR="00950237" w:rsidRPr="00D90DFD" w:rsidRDefault="00950237" w:rsidP="00950237">
            <w:pPr>
              <w:pStyle w:val="B1"/>
            </w:pPr>
            <w:r w:rsidRPr="00D90DFD">
              <w:t>-</w:t>
            </w:r>
            <w:r w:rsidRPr="00D90DFD">
              <w:tab/>
              <w:t>Timing offset related to scheduling and HARQ-ACK feedback [RAN1, RAN2]</w:t>
            </w:r>
          </w:p>
          <w:p w14:paraId="59775966" w14:textId="77777777" w:rsidR="00950237" w:rsidRPr="000C1B5A" w:rsidRDefault="00950237" w:rsidP="00950237">
            <w:pPr>
              <w:pStyle w:val="B1"/>
            </w:pPr>
            <w:r w:rsidRPr="000C1B5A">
              <w:t>-    Aspects related to HARQ operation [RAN2, RAN1]</w:t>
            </w:r>
          </w:p>
          <w:p w14:paraId="52AD88D4" w14:textId="77777777" w:rsidR="00950237" w:rsidRPr="000C1B5A" w:rsidRDefault="00950237" w:rsidP="00950237">
            <w:pPr>
              <w:pStyle w:val="B1"/>
            </w:pPr>
            <w:r w:rsidRPr="000C1B5A">
              <w:t>-</w:t>
            </w:r>
            <w:r w:rsidRPr="000C1B5A">
              <w:tab/>
              <w:t>General aspects related to timers (e.g. SR, DRX, etc.) [RAN2]</w:t>
            </w:r>
          </w:p>
          <w:p w14:paraId="666700A2" w14:textId="77777777" w:rsidR="00950237" w:rsidRPr="000C1B5A" w:rsidRDefault="00950237" w:rsidP="00950237">
            <w:pPr>
              <w:pStyle w:val="B1"/>
            </w:pPr>
            <w:r w:rsidRPr="000C1B5A">
              <w:t>-</w:t>
            </w:r>
            <w:r w:rsidRPr="000C1B5A">
              <w:tab/>
              <w:t>RAN2 aspects related to idle mode and connected mode mobility [RAN2]</w:t>
            </w:r>
          </w:p>
          <w:p w14:paraId="18903BF8" w14:textId="77777777" w:rsidR="00950237" w:rsidRPr="000C1B5A" w:rsidRDefault="00950237" w:rsidP="00950237">
            <w:pPr>
              <w:pStyle w:val="B2"/>
            </w:pPr>
            <w:r w:rsidRPr="000C1B5A">
              <w:t>-</w:t>
            </w:r>
            <w:r w:rsidRPr="000C1B5A">
              <w:tab/>
              <w:t>RLF-based for NB-IoT</w:t>
            </w:r>
          </w:p>
          <w:p w14:paraId="705948E5" w14:textId="77777777" w:rsidR="00950237" w:rsidRPr="000C1B5A" w:rsidRDefault="00950237" w:rsidP="00950237">
            <w:pPr>
              <w:pStyle w:val="B2"/>
            </w:pPr>
            <w:r w:rsidRPr="000C1B5A">
              <w:t>-</w:t>
            </w:r>
            <w:r w:rsidRPr="000C1B5A">
              <w:tab/>
              <w:t>Handover-based for eMTC</w:t>
            </w:r>
          </w:p>
          <w:p w14:paraId="2C4E750D" w14:textId="77777777" w:rsidR="00950237" w:rsidRPr="000C1B5A" w:rsidRDefault="00950237" w:rsidP="00950237">
            <w:pPr>
              <w:pStyle w:val="B1"/>
            </w:pPr>
            <w:r w:rsidRPr="000C1B5A">
              <w:t>-</w:t>
            </w:r>
            <w:r w:rsidRPr="000C1B5A">
              <w:tab/>
              <w:t>System information enhancements [RAN2]</w:t>
            </w:r>
          </w:p>
          <w:p w14:paraId="2704268D" w14:textId="393891F5" w:rsidR="00950237" w:rsidRDefault="00950237" w:rsidP="00950237">
            <w:pPr>
              <w:pStyle w:val="B1"/>
            </w:pPr>
            <w:r w:rsidRPr="000C1B5A">
              <w:t>-</w:t>
            </w:r>
            <w:r w:rsidRPr="000C1B5A">
              <w:tab/>
              <w:t>Tracking area enhancements [RAN2]</w:t>
            </w:r>
          </w:p>
        </w:tc>
      </w:tr>
    </w:tbl>
    <w:p w14:paraId="06330029" w14:textId="291B0880" w:rsidR="00F06F2F" w:rsidRDefault="00F06F2F" w:rsidP="00A209D6">
      <w:r>
        <w:t>I</w:t>
      </w:r>
      <w:r w:rsidRPr="00950237">
        <w:t>n this contribution</w:t>
      </w:r>
      <w:r>
        <w:t xml:space="preserve">, </w:t>
      </w:r>
      <w:r w:rsidRPr="00950237">
        <w:t xml:space="preserve">we provide </w:t>
      </w:r>
      <w:r>
        <w:t>some</w:t>
      </w:r>
      <w:r w:rsidRPr="00950237">
        <w:t xml:space="preserve"> observations</w:t>
      </w:r>
      <w:r>
        <w:t xml:space="preserve"> </w:t>
      </w:r>
      <w:r w:rsidRPr="00950237">
        <w:t>relate</w:t>
      </w:r>
      <w:r>
        <w:t>s</w:t>
      </w:r>
      <w:r w:rsidRPr="00950237">
        <w:t xml:space="preserve"> to </w:t>
      </w:r>
      <w:r w:rsidRPr="008071F8">
        <w:t>NB-IoT/eMTC</w:t>
      </w:r>
      <w:r w:rsidR="00075E02">
        <w:t xml:space="preserve"> over NTN</w:t>
      </w:r>
      <w:r>
        <w:t>, to identify w</w:t>
      </w:r>
      <w:r w:rsidRPr="008071F8">
        <w:t xml:space="preserve">hich </w:t>
      </w:r>
      <w:r w:rsidRPr="00950237">
        <w:t xml:space="preserve">conclusions </w:t>
      </w:r>
      <w:r>
        <w:t>in</w:t>
      </w:r>
      <w:r w:rsidRPr="00950237">
        <w:t xml:space="preserve"> the studies performed for NR NTN</w:t>
      </w:r>
      <w:r w:rsidR="000A5D84">
        <w:t xml:space="preserve"> [2]</w:t>
      </w:r>
      <w:r>
        <w:t xml:space="preserve"> </w:t>
      </w:r>
      <w:r w:rsidRPr="008071F8">
        <w:t>can be re-used or not re-used for NB-IoT/eMTC support for NTN</w:t>
      </w:r>
      <w:r w:rsidRPr="00950237">
        <w:t>. </w:t>
      </w:r>
      <w:r w:rsidR="00D96DBB">
        <w:t>We also provide some observations related to additional study/analysis required for NB-IoT/eMTC functionalities which are not part of NR-NTN scope.</w:t>
      </w:r>
    </w:p>
    <w:p w14:paraId="531F4A86" w14:textId="79F51FCE" w:rsidR="00195508" w:rsidRDefault="00E50CE1" w:rsidP="00966189">
      <w:pPr>
        <w:pStyle w:val="Heading1"/>
      </w:pPr>
      <w:r>
        <w:t>2</w:t>
      </w:r>
      <w:r w:rsidR="00F63E0F" w:rsidRPr="006E13D1">
        <w:tab/>
      </w:r>
      <w:r w:rsidR="00195508">
        <w:t>NB-IoT/eMTC</w:t>
      </w:r>
      <w:r w:rsidR="001075D5">
        <w:t xml:space="preserve"> features for NTN</w:t>
      </w:r>
    </w:p>
    <w:p w14:paraId="4E1BD7DE" w14:textId="13844E11" w:rsidR="001075D5" w:rsidRPr="00520A14" w:rsidRDefault="001075D5" w:rsidP="00D97B7C">
      <w:r>
        <w:t xml:space="preserve">NB-IoT/eMTC systems evolved from Rel-13 until now upto Rel-16 with various features introduced focusing on enhancements for energy consumption, coverage and network operation aspects. Many of these features </w:t>
      </w:r>
      <w:r w:rsidR="008830BB">
        <w:t>may</w:t>
      </w:r>
      <w:r w:rsidR="008830BB">
        <w:t xml:space="preserve"> </w:t>
      </w:r>
      <w:r>
        <w:t xml:space="preserve">not applicable </w:t>
      </w:r>
      <w:r w:rsidR="008830BB">
        <w:t>and are not</w:t>
      </w:r>
      <w:r>
        <w:t xml:space="preserve"> available in NR. For some features the way the feature is implemented are different from the NR implementations. Hence we propose the study also identify and analyse the NTN applicability of NB-IoT</w:t>
      </w:r>
      <w:r w:rsidR="008830BB">
        <w:t>/eMTC</w:t>
      </w:r>
      <w:r>
        <w:t xml:space="preserve"> specific features.</w:t>
      </w:r>
    </w:p>
    <w:p w14:paraId="4332DE4C" w14:textId="77777777" w:rsidR="00195508" w:rsidRDefault="00195508" w:rsidP="00D96DBB">
      <w:r>
        <w:t xml:space="preserve">The basic functionality for NB-IoT/eMTC devices introduced in Rel-13 are power saving and coverage enhancements. </w:t>
      </w:r>
    </w:p>
    <w:p w14:paraId="082A4F95" w14:textId="19C23907" w:rsidR="00195508" w:rsidRDefault="00195508" w:rsidP="00D96DBB">
      <w:r>
        <w:lastRenderedPageBreak/>
        <w:t xml:space="preserve">For power saving, extended DRX and power saving functionality with UE entering into deep sleep mode without any network monitoring for long time was supported.  In </w:t>
      </w:r>
      <w:r w:rsidR="008830BB">
        <w:t>addition,</w:t>
      </w:r>
      <w:r>
        <w:t xml:space="preserve"> the idle mode RRM measurements are further relaxed to reduce the power consumption.  </w:t>
      </w:r>
    </w:p>
    <w:p w14:paraId="683076C9" w14:textId="612BB4E8" w:rsidR="00D96DBB" w:rsidRDefault="00195508" w:rsidP="00D96DBB">
      <w:r>
        <w:t xml:space="preserve">Extended coverage is supported with blind physical layer transmissions for all the channels. For common channels such as PBCH and System Information maximum repetitions applicable for extended coverage are used. For other channels number of repetitions based on the coverage condition of the UE is applied with additional blind decoding attempts.  The maximum repetitions associated with each coverage level are configurable via system information. For connected mode operation, the number of repetitions </w:t>
      </w:r>
      <w:r w:rsidR="008830BB">
        <w:t>is</w:t>
      </w:r>
      <w:r>
        <w:t xml:space="preserve"> controlled via dedicated signalling. UE assistance information about coverage level may be required to fine tune the number of repetitions.</w:t>
      </w:r>
    </w:p>
    <w:p w14:paraId="7CEABA4D" w14:textId="64C81C7E" w:rsidR="00195508" w:rsidRDefault="00195508" w:rsidP="00D96DBB">
      <w:r>
        <w:t>Further releases of NB-IoT/eMTC enhances the basic functionality to further improve the power saving, network efficiency and operational enhancements. Below table</w:t>
      </w:r>
      <w:r w:rsidR="001075D5">
        <w:t xml:space="preserve"> provides the brief list of NB-IoT/eMTC features introduced up</w:t>
      </w:r>
      <w:r w:rsidR="008830BB">
        <w:t xml:space="preserve"> </w:t>
      </w:r>
      <w:r w:rsidR="001075D5">
        <w:t>to Rel-16.</w:t>
      </w:r>
    </w:p>
    <w:p w14:paraId="7B98BF2D" w14:textId="634072F5" w:rsidR="001075D5" w:rsidRDefault="001075D5" w:rsidP="00D96DBB">
      <w:r>
        <w:rPr>
          <w:noProof/>
        </w:rPr>
        <w:drawing>
          <wp:inline distT="0" distB="0" distL="0" distR="0" wp14:anchorId="4A7BC278" wp14:editId="0F3D88B7">
            <wp:extent cx="6369683" cy="26365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2">
                      <a:extLst>
                        <a:ext uri="{28A0092B-C50C-407E-A947-70E740481C1C}">
                          <a14:useLocalDpi xmlns:a14="http://schemas.microsoft.com/office/drawing/2010/main" val="0"/>
                        </a:ext>
                      </a:extLst>
                    </a:blip>
                    <a:stretch>
                      <a:fillRect/>
                    </a:stretch>
                  </pic:blipFill>
                  <pic:spPr>
                    <a:xfrm>
                      <a:off x="0" y="0"/>
                      <a:ext cx="6369683" cy="2636520"/>
                    </a:xfrm>
                    <a:prstGeom prst="rect">
                      <a:avLst/>
                    </a:prstGeom>
                  </pic:spPr>
                </pic:pic>
              </a:graphicData>
            </a:graphic>
          </wp:inline>
        </w:drawing>
      </w:r>
    </w:p>
    <w:p w14:paraId="4721C118" w14:textId="66FAE44B" w:rsidR="00195508" w:rsidRDefault="001075D5" w:rsidP="00D96DBB">
      <w:pPr>
        <w:rPr>
          <w:b/>
          <w:bCs/>
        </w:rPr>
      </w:pPr>
      <w:r w:rsidRPr="00D97B7C">
        <w:rPr>
          <w:b/>
          <w:bCs/>
        </w:rPr>
        <w:t>Proposal 1:</w:t>
      </w:r>
      <w:r w:rsidR="001E7596">
        <w:rPr>
          <w:b/>
          <w:bCs/>
        </w:rPr>
        <w:t xml:space="preserve"> </w:t>
      </w:r>
      <w:r w:rsidRPr="00D97B7C">
        <w:rPr>
          <w:b/>
          <w:bCs/>
        </w:rPr>
        <w:t>IoT-NTN study should include the impact analysis and applicability of existing IoT features for NTN.</w:t>
      </w:r>
    </w:p>
    <w:p w14:paraId="42150097" w14:textId="549F2BC3" w:rsidR="001E7596" w:rsidRDefault="001E7596" w:rsidP="00D96DBB">
      <w:pPr>
        <w:rPr>
          <w:b/>
          <w:bCs/>
        </w:rPr>
      </w:pPr>
      <w:r>
        <w:rPr>
          <w:b/>
          <w:bCs/>
        </w:rPr>
        <w:t>Proposal 2: RAN2 to discuss and conclude on the base 3GPP Release of NB-IoT/eMTC for feature analysis for NTN applicability.</w:t>
      </w:r>
    </w:p>
    <w:p w14:paraId="3A041A0B" w14:textId="21A32AE7" w:rsidR="001E7596" w:rsidRDefault="001E7596" w:rsidP="00D96DBB">
      <w:r>
        <w:t xml:space="preserve">Depending on the scenario analysis, if it is concluded that IoT over NTN need to support only small data packets and lesser single user throughput, the IoT functionalities relevant for these aspects can be </w:t>
      </w:r>
      <w:r w:rsidR="008830BB">
        <w:t>in</w:t>
      </w:r>
      <w:r>
        <w:t xml:space="preserve">cluded. As the energy consumption is key feature for IoT over NTN, the features also expected to be applicable for NTN-IoT. Depending on the applicable data rate the number of HARQ process needs to be supported also can be </w:t>
      </w:r>
      <w:r w:rsidR="008830BB">
        <w:t>modified</w:t>
      </w:r>
      <w:r>
        <w:t>.</w:t>
      </w:r>
    </w:p>
    <w:p w14:paraId="6E20E73D" w14:textId="6CACA5C8" w:rsidR="001E7596" w:rsidRDefault="001E7596" w:rsidP="00D96DBB">
      <w:r>
        <w:t xml:space="preserve">For example, Early data transmission functionality minimises the energy consumption for small data packet transmission. WUS reduces the energy consumption related to downlink monitoring. But detailed analysis on UE and network impacts are required when these features works over NTN. </w:t>
      </w:r>
    </w:p>
    <w:p w14:paraId="51D3B2E3" w14:textId="245E9BAC" w:rsidR="007F4590" w:rsidRDefault="007F4590" w:rsidP="007F4590">
      <w:pPr>
        <w:rPr>
          <w:b/>
          <w:bCs/>
        </w:rPr>
      </w:pPr>
      <w:r>
        <w:rPr>
          <w:b/>
          <w:bCs/>
        </w:rPr>
        <w:t>Proposal 3: Features relevant for connectionless small data transmission should be considered as priority features for applicability for IoT over NTN</w:t>
      </w:r>
    </w:p>
    <w:p w14:paraId="034DF283" w14:textId="6C335C62" w:rsidR="001223EA" w:rsidRDefault="00571FC9" w:rsidP="00D97B7C">
      <w:pPr>
        <w:pStyle w:val="Heading1"/>
      </w:pPr>
      <w:r>
        <w:rPr>
          <w:rFonts w:hint="eastAsia"/>
        </w:rPr>
        <w:t>3</w:t>
      </w:r>
      <w:r w:rsidR="00200D2F" w:rsidRPr="006E13D1">
        <w:t>.</w:t>
      </w:r>
      <w:r w:rsidR="00127EEB" w:rsidRPr="00127EEB">
        <w:t xml:space="preserve"> </w:t>
      </w:r>
      <w:r w:rsidR="00127EEB" w:rsidRPr="006E13D1">
        <w:tab/>
      </w:r>
      <w:r w:rsidR="007F4590">
        <w:t>Applicability of NR-NTN Study for IoT-over-NTN</w:t>
      </w:r>
    </w:p>
    <w:p w14:paraId="72973460" w14:textId="38C64077" w:rsidR="001223EA" w:rsidRDefault="00704D71" w:rsidP="001223EA">
      <w:r>
        <w:t>As the IoT device behaviour in idle mode and connected mode differs from NR, the applicability of study outcome or agreements of NR-NT</w:t>
      </w:r>
      <w:r w:rsidR="00664B01">
        <w:t>N</w:t>
      </w:r>
      <w:r>
        <w:t xml:space="preserve"> needs to be analysed on case by case. For this purpose, the IoT device functionality can be classified based on the UE state.  Following table summarises the key functions of IoT device for each of the UE state and similarity/difference to NR-NTN functionality.</w:t>
      </w:r>
    </w:p>
    <w:p w14:paraId="28A3E16F" w14:textId="77777777" w:rsidR="008830BB" w:rsidRDefault="008830BB" w:rsidP="001223EA"/>
    <w:p w14:paraId="3B45FBB7" w14:textId="06D67579" w:rsidR="00704D71" w:rsidRDefault="00704D71" w:rsidP="001223EA"/>
    <w:tbl>
      <w:tblPr>
        <w:tblStyle w:val="TableGrid"/>
        <w:tblW w:w="0" w:type="auto"/>
        <w:tblLook w:val="04A0" w:firstRow="1" w:lastRow="0" w:firstColumn="1" w:lastColumn="0" w:noHBand="0" w:noVBand="1"/>
      </w:tblPr>
      <w:tblGrid>
        <w:gridCol w:w="3210"/>
        <w:gridCol w:w="3210"/>
        <w:gridCol w:w="3211"/>
      </w:tblGrid>
      <w:tr w:rsidR="00704D71" w14:paraId="7CE203D0" w14:textId="77777777" w:rsidTr="00704D71">
        <w:tc>
          <w:tcPr>
            <w:tcW w:w="3210" w:type="dxa"/>
          </w:tcPr>
          <w:p w14:paraId="6F166EDD" w14:textId="5513A9B0" w:rsidR="00704D71" w:rsidRDefault="00704D71" w:rsidP="001223EA">
            <w:r>
              <w:lastRenderedPageBreak/>
              <w:t>Functionality</w:t>
            </w:r>
          </w:p>
        </w:tc>
        <w:tc>
          <w:tcPr>
            <w:tcW w:w="3210" w:type="dxa"/>
          </w:tcPr>
          <w:p w14:paraId="4AA7FE9C" w14:textId="7CDEAFE2" w:rsidR="00704D71" w:rsidRDefault="00704D71" w:rsidP="001223EA">
            <w:r>
              <w:t>State</w:t>
            </w:r>
          </w:p>
        </w:tc>
        <w:tc>
          <w:tcPr>
            <w:tcW w:w="3211" w:type="dxa"/>
          </w:tcPr>
          <w:p w14:paraId="29DF76EC" w14:textId="6D1B445E" w:rsidR="00704D71" w:rsidRDefault="00704D71" w:rsidP="001223EA">
            <w:r>
              <w:t>Applicability of NR-NTN outcome</w:t>
            </w:r>
          </w:p>
        </w:tc>
      </w:tr>
      <w:tr w:rsidR="00704D71" w14:paraId="30C8C64D" w14:textId="77777777" w:rsidTr="00704D71">
        <w:tc>
          <w:tcPr>
            <w:tcW w:w="3210" w:type="dxa"/>
          </w:tcPr>
          <w:p w14:paraId="0562E241" w14:textId="3AB1149B" w:rsidR="00704D71" w:rsidRDefault="00704D71" w:rsidP="001223EA">
            <w:r>
              <w:t xml:space="preserve">Cell Selection </w:t>
            </w:r>
          </w:p>
        </w:tc>
        <w:tc>
          <w:tcPr>
            <w:tcW w:w="3210" w:type="dxa"/>
          </w:tcPr>
          <w:p w14:paraId="3D8E79B5" w14:textId="197BEA06" w:rsidR="00704D71" w:rsidRDefault="00704D71" w:rsidP="001223EA">
            <w:r>
              <w:t>Idle mode</w:t>
            </w:r>
          </w:p>
        </w:tc>
        <w:tc>
          <w:tcPr>
            <w:tcW w:w="3211" w:type="dxa"/>
          </w:tcPr>
          <w:p w14:paraId="1DDFE109" w14:textId="0FC0FE4F" w:rsidR="00704D71" w:rsidRDefault="00704D71" w:rsidP="001223EA">
            <w:r>
              <w:t>Yes</w:t>
            </w:r>
          </w:p>
        </w:tc>
      </w:tr>
      <w:tr w:rsidR="00704D71" w14:paraId="66B1644C" w14:textId="77777777" w:rsidTr="00704D71">
        <w:tc>
          <w:tcPr>
            <w:tcW w:w="3210" w:type="dxa"/>
          </w:tcPr>
          <w:p w14:paraId="081747C4" w14:textId="4882ABB3" w:rsidR="00704D71" w:rsidRDefault="00704D71" w:rsidP="001223EA">
            <w:r>
              <w:t>Idle mode RRM measurements</w:t>
            </w:r>
          </w:p>
        </w:tc>
        <w:tc>
          <w:tcPr>
            <w:tcW w:w="3210" w:type="dxa"/>
          </w:tcPr>
          <w:p w14:paraId="0028D597" w14:textId="28C362CE" w:rsidR="00704D71" w:rsidRDefault="00704D71" w:rsidP="001223EA">
            <w:r>
              <w:t>Idle mode</w:t>
            </w:r>
          </w:p>
        </w:tc>
        <w:tc>
          <w:tcPr>
            <w:tcW w:w="3211" w:type="dxa"/>
          </w:tcPr>
          <w:p w14:paraId="35C2EB6B" w14:textId="77777777" w:rsidR="00704D71" w:rsidRDefault="00704D71" w:rsidP="001223EA">
            <w:r>
              <w:t>Relaxed serving cell measurements are not applicable for NR idle mode.</w:t>
            </w:r>
          </w:p>
          <w:p w14:paraId="3996BBDA" w14:textId="4C2D105C" w:rsidR="00704D71" w:rsidRDefault="00704D71" w:rsidP="001223EA">
            <w:r>
              <w:t>Impact of relaxed measurements on UE cell reselection between NTN and TN network requires further analysis</w:t>
            </w:r>
          </w:p>
        </w:tc>
      </w:tr>
      <w:tr w:rsidR="00704D71" w14:paraId="3ADD08D3" w14:textId="77777777" w:rsidTr="00704D71">
        <w:tc>
          <w:tcPr>
            <w:tcW w:w="3210" w:type="dxa"/>
          </w:tcPr>
          <w:p w14:paraId="58275EAC" w14:textId="1D14DE9A" w:rsidR="00704D71" w:rsidRDefault="00772C34" w:rsidP="001223EA">
            <w:r>
              <w:t>System Information acquisitions</w:t>
            </w:r>
          </w:p>
        </w:tc>
        <w:tc>
          <w:tcPr>
            <w:tcW w:w="3210" w:type="dxa"/>
          </w:tcPr>
          <w:p w14:paraId="7967D2E8" w14:textId="67F38139" w:rsidR="00704D71" w:rsidRDefault="00772C34" w:rsidP="001223EA">
            <w:r>
              <w:t>Idle mode</w:t>
            </w:r>
          </w:p>
        </w:tc>
        <w:tc>
          <w:tcPr>
            <w:tcW w:w="3211" w:type="dxa"/>
          </w:tcPr>
          <w:p w14:paraId="1F131A1A" w14:textId="3E334E4C" w:rsidR="00704D71" w:rsidRDefault="00772C34" w:rsidP="001223EA">
            <w:r>
              <w:t>Energy consumption related to system information changes due to satellite movement for IoT devices is critical factor. This is not major issue for NR-NTN</w:t>
            </w:r>
          </w:p>
        </w:tc>
      </w:tr>
      <w:tr w:rsidR="00772C34" w14:paraId="41AF34EF" w14:textId="77777777" w:rsidTr="00704D71">
        <w:tc>
          <w:tcPr>
            <w:tcW w:w="3210" w:type="dxa"/>
          </w:tcPr>
          <w:p w14:paraId="07A27D09" w14:textId="129514E1" w:rsidR="00772C34" w:rsidRDefault="00772C34" w:rsidP="001223EA">
            <w:r>
              <w:t>RACH Access</w:t>
            </w:r>
          </w:p>
        </w:tc>
        <w:tc>
          <w:tcPr>
            <w:tcW w:w="3210" w:type="dxa"/>
          </w:tcPr>
          <w:p w14:paraId="7FA37B36" w14:textId="020C0263" w:rsidR="00772C34" w:rsidRDefault="00772C34" w:rsidP="001223EA">
            <w:r>
              <w:t>Idle mode</w:t>
            </w:r>
          </w:p>
        </w:tc>
        <w:tc>
          <w:tcPr>
            <w:tcW w:w="3211" w:type="dxa"/>
          </w:tcPr>
          <w:p w14:paraId="3DBAC89E" w14:textId="6DE664AE" w:rsidR="00772C34" w:rsidRDefault="00772C34" w:rsidP="001223EA">
            <w:r>
              <w:t>Partially applicable. Agreements related to timing offset adjustment prior to start of access is applicable as such. Further analysis needed related to RACH repetitions handling.</w:t>
            </w:r>
          </w:p>
        </w:tc>
      </w:tr>
      <w:tr w:rsidR="00772C34" w14:paraId="70E45CF6" w14:textId="77777777" w:rsidTr="00704D71">
        <w:tc>
          <w:tcPr>
            <w:tcW w:w="3210" w:type="dxa"/>
          </w:tcPr>
          <w:p w14:paraId="6AC346A7" w14:textId="56740A42" w:rsidR="00772C34" w:rsidRDefault="00772C34" w:rsidP="001223EA">
            <w:r>
              <w:t>Idle mode Extended DRX</w:t>
            </w:r>
          </w:p>
        </w:tc>
        <w:tc>
          <w:tcPr>
            <w:tcW w:w="3210" w:type="dxa"/>
          </w:tcPr>
          <w:p w14:paraId="607A53FA" w14:textId="3F4364CA" w:rsidR="00772C34" w:rsidRDefault="00772C34" w:rsidP="001223EA">
            <w:r>
              <w:t>Idle mode</w:t>
            </w:r>
          </w:p>
        </w:tc>
        <w:tc>
          <w:tcPr>
            <w:tcW w:w="3211" w:type="dxa"/>
          </w:tcPr>
          <w:p w14:paraId="4FF47975" w14:textId="47D7C619" w:rsidR="00772C34" w:rsidRDefault="00772C34" w:rsidP="001223EA">
            <w:r>
              <w:t>Not applicable for NR-NTN. Impact of GNSS operation prior to PO /PTW of eDRX operation requires further analysis.</w:t>
            </w:r>
          </w:p>
        </w:tc>
      </w:tr>
      <w:tr w:rsidR="00772C34" w14:paraId="6DAC01BA" w14:textId="77777777" w:rsidTr="00704D71">
        <w:tc>
          <w:tcPr>
            <w:tcW w:w="3210" w:type="dxa"/>
          </w:tcPr>
          <w:p w14:paraId="4957243B" w14:textId="3BB92EB0" w:rsidR="00772C34" w:rsidRDefault="00772C34" w:rsidP="001223EA">
            <w:r>
              <w:t xml:space="preserve">Idle mode cell reselection </w:t>
            </w:r>
          </w:p>
        </w:tc>
        <w:tc>
          <w:tcPr>
            <w:tcW w:w="3210" w:type="dxa"/>
          </w:tcPr>
          <w:p w14:paraId="2F15CA25" w14:textId="6308844B" w:rsidR="00772C34" w:rsidRDefault="00772C34" w:rsidP="001223EA">
            <w:r>
              <w:t>Idle mode</w:t>
            </w:r>
          </w:p>
        </w:tc>
        <w:tc>
          <w:tcPr>
            <w:tcW w:w="3211" w:type="dxa"/>
          </w:tcPr>
          <w:p w14:paraId="71F8B7B1" w14:textId="5B55AF32" w:rsidR="00772C34" w:rsidRDefault="00772C34" w:rsidP="001223EA">
            <w:r>
              <w:t>Inclusion of TN neighbours in system information and cell reselection priority between TN and NTN requires further analysis.</w:t>
            </w:r>
          </w:p>
        </w:tc>
      </w:tr>
      <w:tr w:rsidR="00772C34" w14:paraId="3ADE26CA" w14:textId="77777777" w:rsidTr="00704D71">
        <w:tc>
          <w:tcPr>
            <w:tcW w:w="3210" w:type="dxa"/>
          </w:tcPr>
          <w:p w14:paraId="5A981853" w14:textId="2C3B4DF8" w:rsidR="00772C34" w:rsidRDefault="00772C34" w:rsidP="001223EA">
            <w:r>
              <w:t>Tracking Area Update procedure</w:t>
            </w:r>
          </w:p>
        </w:tc>
        <w:tc>
          <w:tcPr>
            <w:tcW w:w="3210" w:type="dxa"/>
          </w:tcPr>
          <w:p w14:paraId="17EA03B8" w14:textId="699AD289" w:rsidR="00772C34" w:rsidRDefault="00772C34" w:rsidP="001223EA">
            <w:r>
              <w:t>Idle mode</w:t>
            </w:r>
          </w:p>
        </w:tc>
        <w:tc>
          <w:tcPr>
            <w:tcW w:w="3211" w:type="dxa"/>
          </w:tcPr>
          <w:p w14:paraId="079D5BF9" w14:textId="7EFE3F8F" w:rsidR="00772C34" w:rsidRDefault="00772C34" w:rsidP="001223EA">
            <w:r>
              <w:t xml:space="preserve">Applicable. </w:t>
            </w:r>
          </w:p>
        </w:tc>
      </w:tr>
      <w:tr w:rsidR="00772C34" w14:paraId="3D621B37" w14:textId="77777777" w:rsidTr="00704D71">
        <w:tc>
          <w:tcPr>
            <w:tcW w:w="3210" w:type="dxa"/>
          </w:tcPr>
          <w:p w14:paraId="3360167C" w14:textId="09DECB45" w:rsidR="00772C34" w:rsidRDefault="00772C34" w:rsidP="00772C34">
            <w:r>
              <w:t xml:space="preserve">HARQ Operation </w:t>
            </w:r>
          </w:p>
        </w:tc>
        <w:tc>
          <w:tcPr>
            <w:tcW w:w="3210" w:type="dxa"/>
          </w:tcPr>
          <w:p w14:paraId="084B50B7" w14:textId="4328C50C" w:rsidR="00772C34" w:rsidRDefault="00772C34" w:rsidP="00772C34">
            <w:r>
              <w:t>Connected mode</w:t>
            </w:r>
          </w:p>
        </w:tc>
        <w:tc>
          <w:tcPr>
            <w:tcW w:w="3211" w:type="dxa"/>
          </w:tcPr>
          <w:p w14:paraId="4C6442C3" w14:textId="4FC5700E" w:rsidR="00772C34" w:rsidRDefault="00772C34" w:rsidP="00772C34">
            <w:r>
              <w:t>Applicable with some changes</w:t>
            </w:r>
          </w:p>
        </w:tc>
      </w:tr>
      <w:tr w:rsidR="00772C34" w14:paraId="2CD8CFA1" w14:textId="77777777" w:rsidTr="00704D71">
        <w:tc>
          <w:tcPr>
            <w:tcW w:w="3210" w:type="dxa"/>
          </w:tcPr>
          <w:p w14:paraId="65CD468F" w14:textId="0E1C32EE" w:rsidR="00772C34" w:rsidRDefault="00772C34" w:rsidP="00772C34">
            <w:r>
              <w:t>RLC/PDCP Impacts</w:t>
            </w:r>
          </w:p>
        </w:tc>
        <w:tc>
          <w:tcPr>
            <w:tcW w:w="3210" w:type="dxa"/>
          </w:tcPr>
          <w:p w14:paraId="0F18CF0B" w14:textId="6ADA9892" w:rsidR="00772C34" w:rsidRDefault="00772C34" w:rsidP="00772C34">
            <w:r>
              <w:t>Connected mode</w:t>
            </w:r>
          </w:p>
        </w:tc>
        <w:tc>
          <w:tcPr>
            <w:tcW w:w="3211" w:type="dxa"/>
          </w:tcPr>
          <w:p w14:paraId="45CB8C79" w14:textId="37D08DC2" w:rsidR="00772C34" w:rsidRDefault="00772C34" w:rsidP="00772C34">
            <w:r>
              <w:t>Applicable with some changes</w:t>
            </w:r>
          </w:p>
        </w:tc>
      </w:tr>
      <w:tr w:rsidR="00772C34" w14:paraId="0AE89F49" w14:textId="77777777" w:rsidTr="00704D71">
        <w:tc>
          <w:tcPr>
            <w:tcW w:w="3210" w:type="dxa"/>
          </w:tcPr>
          <w:p w14:paraId="062C068C" w14:textId="2187033E" w:rsidR="00772C34" w:rsidRDefault="00292447" w:rsidP="00772C34">
            <w:r>
              <w:t>UL scheduling enhancement</w:t>
            </w:r>
          </w:p>
        </w:tc>
        <w:tc>
          <w:tcPr>
            <w:tcW w:w="3210" w:type="dxa"/>
          </w:tcPr>
          <w:p w14:paraId="6203EEEA" w14:textId="4EE54C0A" w:rsidR="00772C34" w:rsidRDefault="00772C34" w:rsidP="00772C34">
            <w:r>
              <w:t>Connected mode</w:t>
            </w:r>
          </w:p>
        </w:tc>
        <w:tc>
          <w:tcPr>
            <w:tcW w:w="3211" w:type="dxa"/>
          </w:tcPr>
          <w:p w14:paraId="4BF180D7" w14:textId="48A0BE47" w:rsidR="00772C34" w:rsidRDefault="00772C34" w:rsidP="00772C34">
            <w:r>
              <w:t>Applicable with some changes</w:t>
            </w:r>
          </w:p>
        </w:tc>
      </w:tr>
    </w:tbl>
    <w:p w14:paraId="6C655C33" w14:textId="77777777" w:rsidR="00704D71" w:rsidRDefault="00704D71" w:rsidP="001223EA"/>
    <w:p w14:paraId="5A79A7AF" w14:textId="02A44B49" w:rsidR="00200D2F" w:rsidRPr="006E13D1" w:rsidRDefault="00571FC9" w:rsidP="00200D2F">
      <w:pPr>
        <w:pStyle w:val="Heading2"/>
      </w:pPr>
      <w:r>
        <w:rPr>
          <w:rFonts w:hint="eastAsia"/>
          <w:lang w:eastAsia="zh-CN"/>
        </w:rPr>
        <w:t>3.1</w:t>
      </w:r>
      <w:r w:rsidR="00A36131" w:rsidRPr="006E13D1">
        <w:tab/>
      </w:r>
      <w:r w:rsidR="00772C34">
        <w:t>Idle mode Aspects</w:t>
      </w:r>
      <w:r w:rsidR="002633A2">
        <w:t xml:space="preserve">: </w:t>
      </w:r>
      <w:r w:rsidR="004447C1">
        <w:t>R</w:t>
      </w:r>
      <w:r w:rsidR="00200D2F" w:rsidRPr="00200D2F">
        <w:t xml:space="preserve">andom </w:t>
      </w:r>
      <w:r w:rsidR="00E20916">
        <w:t>A</w:t>
      </w:r>
      <w:r w:rsidR="00200D2F" w:rsidRPr="00200D2F">
        <w:t xml:space="preserve">ccess </w:t>
      </w:r>
    </w:p>
    <w:p w14:paraId="5DD1117B" w14:textId="77777777" w:rsidR="001F0CB5" w:rsidRDefault="001F0CB5" w:rsidP="001F0CB5">
      <w:r>
        <w:t>As mentioned in the SI [1],</w:t>
      </w:r>
      <w:r w:rsidRPr="00AD0D19">
        <w:t xml:space="preserve"> </w:t>
      </w:r>
      <w:r w:rsidRPr="000C1B5A">
        <w:t>GNSS capability in the UE is taken as a working assumption in this study for both NB-IoT and eMTC devices. With this assumption, UE can estimate and pre-compensate timing and frequency offset with sufficient accuracy for UL transmission.</w:t>
      </w:r>
      <w:r>
        <w:t xml:space="preserve"> </w:t>
      </w:r>
    </w:p>
    <w:p w14:paraId="1E2A176F" w14:textId="77777777" w:rsidR="001F5EAC" w:rsidRDefault="001F0CB5" w:rsidP="001F0CB5">
      <w:r>
        <w:t xml:space="preserve">For NB-IoT and eMTC UE, PRACH repetitions and PUSCH </w:t>
      </w:r>
      <w:r w:rsidR="002044CD">
        <w:t>repetitions</w:t>
      </w:r>
      <w:r>
        <w:t xml:space="preserve"> are supported to achieve coverage enhancement with up to 20dB gain. Based on assumption that all UEs have timing pre-compensation capability, for UE in RRC idle, UE can do pre-compensation estimation and apply the estimated TA at least in first PRACH transmission. However, during the interval of PRACH repetition transmissions and the following Msg3 as well as data transmission, it is not clear whether UE can estimate the TA for the rest of PRACH repetitions and PUSCH repetition</w:t>
      </w:r>
      <w:r w:rsidR="31032F0B">
        <w:t>s</w:t>
      </w:r>
      <w:r>
        <w:t>, as it was mentioned in SI that simultaneous GNSS and NTN NB-IoT/eMTC operation is not assumed. Considering satellite is moving in LEO and long repetition duration (e.g. in NB-IoT uplink, the transmission periods is up to 40 second</w:t>
      </w:r>
      <w:r w:rsidR="00941E44">
        <w:t>s</w:t>
      </w:r>
      <w:r>
        <w:t>), the TA between different repetitions may change a lot.</w:t>
      </w:r>
    </w:p>
    <w:p w14:paraId="4E2BCCF8" w14:textId="60AE6A1F" w:rsidR="001F0CB5" w:rsidRPr="00415BBC" w:rsidRDefault="003D06D0" w:rsidP="001F0CB5">
      <w:pPr>
        <w:rPr>
          <w:b/>
          <w:bCs/>
        </w:rPr>
      </w:pPr>
      <w:r w:rsidRPr="00415BBC">
        <w:rPr>
          <w:b/>
          <w:bCs/>
        </w:rPr>
        <w:t>Proposal</w:t>
      </w:r>
      <w:r w:rsidR="001F0CB5" w:rsidRPr="00415BBC">
        <w:rPr>
          <w:b/>
          <w:bCs/>
        </w:rPr>
        <w:t xml:space="preserve"> </w:t>
      </w:r>
      <w:r w:rsidRPr="00415BBC">
        <w:rPr>
          <w:b/>
          <w:bCs/>
        </w:rPr>
        <w:t>4</w:t>
      </w:r>
      <w:r w:rsidR="001F0CB5" w:rsidRPr="00415BBC">
        <w:rPr>
          <w:b/>
          <w:bCs/>
        </w:rPr>
        <w:t>: RAN2 to clarify</w:t>
      </w:r>
      <w:r w:rsidR="000A085B" w:rsidRPr="00415BBC">
        <w:rPr>
          <w:b/>
          <w:bCs/>
        </w:rPr>
        <w:t>, based on the assumption in SI description,</w:t>
      </w:r>
      <w:r w:rsidR="001F0CB5" w:rsidRPr="00415BBC">
        <w:rPr>
          <w:b/>
          <w:bCs/>
        </w:rPr>
        <w:t xml:space="preserve"> whether NB-IoT and eMTC UE can estimate and pre-compensate timing offset during the interval of </w:t>
      </w:r>
      <w:r w:rsidR="001F0CB5" w:rsidRPr="00D97B7C">
        <w:rPr>
          <w:b/>
          <w:bCs/>
        </w:rPr>
        <w:t>PRACH</w:t>
      </w:r>
      <w:r w:rsidR="001F0CB5" w:rsidRPr="00415BBC">
        <w:rPr>
          <w:b/>
          <w:bCs/>
        </w:rPr>
        <w:t xml:space="preserve"> </w:t>
      </w:r>
      <w:r w:rsidR="001F0CB5" w:rsidRPr="00D97B7C">
        <w:rPr>
          <w:b/>
          <w:bCs/>
        </w:rPr>
        <w:t>repetitions</w:t>
      </w:r>
      <w:r w:rsidR="001F0CB5" w:rsidRPr="00415BBC">
        <w:rPr>
          <w:b/>
          <w:bCs/>
        </w:rPr>
        <w:t xml:space="preserve"> and PUSCH repetitions</w:t>
      </w:r>
      <w:r w:rsidR="00941E44" w:rsidRPr="00415BBC">
        <w:rPr>
          <w:b/>
          <w:bCs/>
        </w:rPr>
        <w:t xml:space="preserve"> in LEO</w:t>
      </w:r>
      <w:r w:rsidR="001F0CB5" w:rsidRPr="00415BBC">
        <w:rPr>
          <w:b/>
          <w:bCs/>
        </w:rPr>
        <w:t>.</w:t>
      </w:r>
    </w:p>
    <w:p w14:paraId="018332A0" w14:textId="42867E71" w:rsidR="00DD3689" w:rsidRDefault="00CD051A" w:rsidP="00EC14DF">
      <w:r w:rsidRPr="00CD051A">
        <w:lastRenderedPageBreak/>
        <w:t xml:space="preserve">For the assumption regarding GNSS usage: “UE can estimate and pre-compensate timing and frequency offset with sufficient accuracy for UL transmission”, if the UE is indoor where the GNSS performance may be severely degraded </w:t>
      </w:r>
      <w:r w:rsidR="00132279">
        <w:t>because of coverage</w:t>
      </w:r>
      <w:r w:rsidRPr="00CD051A">
        <w:t xml:space="preserve">, while the PRACH/PUSCH/PDSCH coverage is good enough via repetitions, the UE may not feasible to estimate and pre-compensate timing </w:t>
      </w:r>
      <w:r w:rsidR="00FE05EC">
        <w:t xml:space="preserve">for UL transmission </w:t>
      </w:r>
      <w:r w:rsidRPr="00CD051A">
        <w:t>based on GNSS.</w:t>
      </w:r>
    </w:p>
    <w:p w14:paraId="75964B75" w14:textId="7A6FE878" w:rsidR="00CC4BEA" w:rsidRPr="00415BBC" w:rsidRDefault="00CC4BEA" w:rsidP="00CC4BEA">
      <w:pPr>
        <w:rPr>
          <w:b/>
          <w:bCs/>
        </w:rPr>
      </w:pPr>
      <w:r w:rsidRPr="00415BBC">
        <w:rPr>
          <w:b/>
          <w:bCs/>
        </w:rPr>
        <w:t xml:space="preserve">Proposal </w:t>
      </w:r>
      <w:r w:rsidR="002633A2">
        <w:rPr>
          <w:b/>
          <w:bCs/>
        </w:rPr>
        <w:t>5</w:t>
      </w:r>
      <w:r w:rsidRPr="00415BBC">
        <w:rPr>
          <w:b/>
          <w:bCs/>
        </w:rPr>
        <w:t>: RAN2 to clarify</w:t>
      </w:r>
      <w:r w:rsidR="00FE05EC">
        <w:rPr>
          <w:b/>
          <w:bCs/>
        </w:rPr>
        <w:t xml:space="preserve">, </w:t>
      </w:r>
      <w:r w:rsidR="002B3948">
        <w:rPr>
          <w:b/>
          <w:bCs/>
        </w:rPr>
        <w:t>whether the case where GNSS and IoT channels have different coverage should be considered</w:t>
      </w:r>
      <w:r w:rsidRPr="00415BBC">
        <w:rPr>
          <w:b/>
          <w:bCs/>
        </w:rPr>
        <w:t>.</w:t>
      </w:r>
    </w:p>
    <w:p w14:paraId="69782D66" w14:textId="4F9BDCA7" w:rsidR="00EC14DF" w:rsidRDefault="00EC14DF" w:rsidP="00EC14DF">
      <w:pPr>
        <w:rPr>
          <w:i/>
        </w:rPr>
      </w:pPr>
      <w:r>
        <w:t xml:space="preserve">Due to the long RTT in NTN, the start of RA response window and </w:t>
      </w:r>
      <w:r w:rsidRPr="00B547D2">
        <w:t>mac-ContentionResolutionTimer</w:t>
      </w:r>
      <w:r>
        <w:t xml:space="preserve"> should be adapted for NB-IoT and eMTC UE to avoid timer extension if possible. In NR over NTN </w:t>
      </w:r>
      <w:r w:rsidR="009A3868">
        <w:t>WI, RAN</w:t>
      </w:r>
      <w:r>
        <w:t xml:space="preserve">2 reached the following agreements concerning the offset of the </w:t>
      </w:r>
      <w:r>
        <w:rPr>
          <w:i/>
        </w:rPr>
        <w:t>ra-ResponseWindow</w:t>
      </w:r>
      <w:r>
        <w:t xml:space="preserve"> and the </w:t>
      </w:r>
      <w:r>
        <w:rPr>
          <w:i/>
        </w:rPr>
        <w:t>ra-ContentionResolutionTimer.</w:t>
      </w:r>
    </w:p>
    <w:p w14:paraId="42728DF4" w14:textId="77777777" w:rsidR="00EC14DF" w:rsidRPr="00252ECE" w:rsidRDefault="00EC14DF" w:rsidP="00EC14DF">
      <w:pPr>
        <w:pStyle w:val="Doc-text2"/>
        <w:pBdr>
          <w:top w:val="single" w:sz="4" w:space="1" w:color="auto"/>
          <w:left w:val="single" w:sz="4" w:space="4" w:color="auto"/>
          <w:bottom w:val="single" w:sz="4" w:space="1" w:color="auto"/>
          <w:right w:val="single" w:sz="4" w:space="4" w:color="auto"/>
        </w:pBdr>
        <w:rPr>
          <w:rFonts w:ascii="Times New Roman" w:eastAsia="宋体" w:hAnsi="Times New Roman"/>
          <w:szCs w:val="20"/>
          <w:lang w:eastAsia="en-US"/>
        </w:rPr>
      </w:pPr>
      <w:r w:rsidRPr="00252ECE">
        <w:rPr>
          <w:rFonts w:ascii="Times New Roman" w:eastAsia="宋体" w:hAnsi="Times New Roman"/>
          <w:szCs w:val="20"/>
          <w:lang w:eastAsia="en-US"/>
        </w:rPr>
        <w:t>Agreements via email - from offline 107</w:t>
      </w:r>
    </w:p>
    <w:p w14:paraId="3FBC92B2" w14:textId="77777777" w:rsidR="00EC14DF" w:rsidRPr="00252ECE" w:rsidRDefault="00EC14DF" w:rsidP="00EC14DF">
      <w:pPr>
        <w:pStyle w:val="Doc-text2"/>
        <w:numPr>
          <w:ilvl w:val="0"/>
          <w:numId w:val="14"/>
        </w:numPr>
        <w:pBdr>
          <w:top w:val="single" w:sz="4" w:space="1" w:color="auto"/>
          <w:left w:val="single" w:sz="4" w:space="4" w:color="auto"/>
          <w:bottom w:val="single" w:sz="4" w:space="1" w:color="auto"/>
          <w:right w:val="single" w:sz="4" w:space="4" w:color="auto"/>
        </w:pBdr>
        <w:rPr>
          <w:rFonts w:ascii="Times New Roman" w:eastAsia="宋体" w:hAnsi="Times New Roman"/>
          <w:szCs w:val="20"/>
          <w:lang w:eastAsia="en-US"/>
        </w:rPr>
      </w:pPr>
      <w:r w:rsidRPr="00252ECE">
        <w:rPr>
          <w:rFonts w:ascii="Times New Roman" w:eastAsia="宋体" w:hAnsi="Times New Roman"/>
          <w:szCs w:val="20"/>
          <w:lang w:eastAsia="en-US"/>
        </w:rPr>
        <w:t>From RAN2 perspective, an offset is applied to the start of ra-ResponseWindow in NTN for both LEO and GEO scenarios.</w:t>
      </w:r>
    </w:p>
    <w:p w14:paraId="40549453" w14:textId="77777777" w:rsidR="00EC14DF" w:rsidRPr="00252ECE" w:rsidRDefault="00EC14DF" w:rsidP="00EC14DF">
      <w:pPr>
        <w:pStyle w:val="Doc-text2"/>
        <w:numPr>
          <w:ilvl w:val="0"/>
          <w:numId w:val="14"/>
        </w:numPr>
        <w:pBdr>
          <w:top w:val="single" w:sz="4" w:space="1" w:color="auto"/>
          <w:left w:val="single" w:sz="4" w:space="4" w:color="auto"/>
          <w:bottom w:val="single" w:sz="4" w:space="1" w:color="auto"/>
          <w:right w:val="single" w:sz="4" w:space="4" w:color="auto"/>
        </w:pBdr>
        <w:rPr>
          <w:rFonts w:ascii="Times New Roman" w:eastAsia="宋体" w:hAnsi="Times New Roman"/>
          <w:szCs w:val="20"/>
          <w:lang w:eastAsia="en-US"/>
        </w:rPr>
      </w:pPr>
      <w:r w:rsidRPr="00252ECE">
        <w:rPr>
          <w:rFonts w:ascii="Times New Roman" w:eastAsia="宋体" w:hAnsi="Times New Roman"/>
          <w:szCs w:val="20"/>
          <w:lang w:eastAsia="en-US"/>
        </w:rPr>
        <w:t>An offset to the start of the ra-ContentionResolutionTimer is introduced for both LEO and GEO scenarios.</w:t>
      </w:r>
    </w:p>
    <w:p w14:paraId="07CB0FF1" w14:textId="77777777" w:rsidR="00EC14DF" w:rsidRDefault="00EC14DF" w:rsidP="00EC14DF">
      <w:r>
        <w:t xml:space="preserve">The NR WI agreements can be applied to IoT over NTN as well. For example, if UE is an eMTC UE, UE starts </w:t>
      </w:r>
      <w:r w:rsidRPr="00D57243">
        <w:t>RA Response window</w:t>
      </w:r>
      <w:r>
        <w:t xml:space="preserve"> at the subframe that contains the end of the last preamble repetition plus three </w:t>
      </w:r>
      <w:r>
        <w:rPr>
          <w:lang w:eastAsia="zh-CN"/>
        </w:rPr>
        <w:t xml:space="preserve">and the offset </w:t>
      </w:r>
      <w:r>
        <w:t xml:space="preserve">subframes. Additionally, the solution </w:t>
      </w:r>
      <w:r>
        <w:rPr>
          <w:rFonts w:hint="eastAsia"/>
          <w:lang w:eastAsia="zh-CN"/>
        </w:rPr>
        <w:t>o</w:t>
      </w:r>
      <w:r>
        <w:rPr>
          <w:lang w:eastAsia="zh-CN"/>
        </w:rPr>
        <w:t xml:space="preserve">n how </w:t>
      </w:r>
      <w:r>
        <w:t>to decide the value of offset is still ongoing in NR WI, thus we think IoT over NTN should revisit the offset determination solution after NR WI.</w:t>
      </w:r>
    </w:p>
    <w:p w14:paraId="142F5796" w14:textId="323630C4" w:rsidR="00EC14DF" w:rsidRDefault="00EC14DF" w:rsidP="00EC14DF">
      <w:pPr>
        <w:rPr>
          <w:b/>
          <w:bCs/>
        </w:rPr>
      </w:pPr>
      <w:r w:rsidRPr="00316136">
        <w:rPr>
          <w:b/>
          <w:bCs/>
        </w:rPr>
        <w:t xml:space="preserve">Proposal </w:t>
      </w:r>
      <w:r w:rsidR="002633A2">
        <w:rPr>
          <w:b/>
          <w:bCs/>
        </w:rPr>
        <w:t>6</w:t>
      </w:r>
      <w:r w:rsidRPr="00316136">
        <w:rPr>
          <w:b/>
          <w:bCs/>
        </w:rPr>
        <w:t xml:space="preserve">: </w:t>
      </w:r>
      <w:r>
        <w:rPr>
          <w:b/>
          <w:bCs/>
        </w:rPr>
        <w:t>RAN2 agree to a</w:t>
      </w:r>
      <w:r w:rsidRPr="00316136">
        <w:rPr>
          <w:b/>
          <w:bCs/>
        </w:rPr>
        <w:t>pply an offset to start RA response window and mac-ContentionResolutionTimer for IoT over NTN,</w:t>
      </w:r>
      <w:r w:rsidRPr="000C4964">
        <w:rPr>
          <w:b/>
          <w:bCs/>
        </w:rPr>
        <w:t xml:space="preserve"> where how to decide the offset value is FFS.</w:t>
      </w:r>
    </w:p>
    <w:p w14:paraId="46D01370" w14:textId="3D2DDE95" w:rsidR="00D83414" w:rsidRDefault="00D83414" w:rsidP="00D83414">
      <w:pPr>
        <w:rPr>
          <w:lang w:eastAsia="zh-CN"/>
        </w:rPr>
      </w:pPr>
      <w:r w:rsidRPr="00E71F6D">
        <w:t xml:space="preserve">In NR NTN WI, 2-step random access procedure, which can be helpful in mitigating the impact of the transmission delay, has been identified to be beneficial in NTN. RAN2 agreed </w:t>
      </w:r>
      <w:r w:rsidRPr="00C015C8">
        <w:t>both 2-step and 4-step RACH are supported in Rel-17 NTN.</w:t>
      </w:r>
      <w:r>
        <w:t xml:space="preserve"> However, as the 2-step is only applicable to NR which means it is not supported in LTE for eMTC or NB-IoT, </w:t>
      </w:r>
      <w:r>
        <w:rPr>
          <w:lang w:eastAsia="zh-CN"/>
        </w:rPr>
        <w:t xml:space="preserve">there will have </w:t>
      </w:r>
      <w:r w:rsidR="00CD6C52">
        <w:rPr>
          <w:lang w:eastAsia="zh-CN"/>
        </w:rPr>
        <w:t>high</w:t>
      </w:r>
      <w:r>
        <w:rPr>
          <w:lang w:eastAsia="zh-CN"/>
        </w:rPr>
        <w:t xml:space="preserve"> specification impact to support 2-step RACH for NB-IoT or eMTC. Furthermore</w:t>
      </w:r>
      <w:r>
        <w:rPr>
          <w:rFonts w:hint="eastAsia"/>
          <w:lang w:eastAsia="zh-CN"/>
        </w:rPr>
        <w:t>,</w:t>
      </w:r>
      <w:r>
        <w:rPr>
          <w:lang w:eastAsia="zh-CN"/>
        </w:rPr>
        <w:t xml:space="preserve"> as the IoT service is not assumed time critical, the motivation to support 2-step RACH </w:t>
      </w:r>
      <w:r w:rsidR="00DD26F2">
        <w:rPr>
          <w:lang w:eastAsia="zh-CN"/>
        </w:rPr>
        <w:t xml:space="preserve">for NB-IoT/eMTC </w:t>
      </w:r>
      <w:r>
        <w:rPr>
          <w:lang w:eastAsia="zh-CN"/>
        </w:rPr>
        <w:t>is not strong enough.</w:t>
      </w:r>
    </w:p>
    <w:p w14:paraId="3786809C" w14:textId="63F99BB4" w:rsidR="00D83414" w:rsidRPr="00D83414" w:rsidRDefault="00D83414" w:rsidP="00D83414">
      <w:pPr>
        <w:rPr>
          <w:b/>
          <w:bCs/>
        </w:rPr>
      </w:pPr>
      <w:r w:rsidRPr="00D83414">
        <w:rPr>
          <w:b/>
          <w:bCs/>
        </w:rPr>
        <w:t xml:space="preserve">Proposal </w:t>
      </w:r>
      <w:r w:rsidR="002633A2">
        <w:rPr>
          <w:b/>
          <w:bCs/>
        </w:rPr>
        <w:t>7</w:t>
      </w:r>
      <w:r w:rsidRPr="00D83414">
        <w:rPr>
          <w:b/>
          <w:bCs/>
        </w:rPr>
        <w:t>: NR solution to support 2-Step RACH in NTN is not applied to NB-IoT/eMTC over NTN.</w:t>
      </w:r>
    </w:p>
    <w:p w14:paraId="1C6BF969" w14:textId="286B94AE" w:rsidR="00717E7F" w:rsidRDefault="00717E7F" w:rsidP="00717E7F">
      <w:r w:rsidRPr="00B73853">
        <w:t xml:space="preserve">Mobile originated early data </w:t>
      </w:r>
      <w:r w:rsidR="009A3868" w:rsidRPr="00B73853">
        <w:t>transmission (</w:t>
      </w:r>
      <w:r w:rsidRPr="00B73853">
        <w:t>EDT) is supported in Rel-15 for both NB-IoT/eMTC, which allows for early UL data transmission in Msg3. Mobile terminated EDT is supported in Rel-16, with both control plan and user plane optimization.</w:t>
      </w:r>
      <w:r>
        <w:t xml:space="preserve"> </w:t>
      </w:r>
      <w:r w:rsidRPr="00B73853">
        <w:t xml:space="preserve">For small data packet transmission, early data </w:t>
      </w:r>
      <w:r w:rsidR="009A3868" w:rsidRPr="00B73853">
        <w:t>transmission (</w:t>
      </w:r>
      <w:r w:rsidRPr="00B73853">
        <w:t xml:space="preserve">EDT) functionality </w:t>
      </w:r>
      <w:r w:rsidR="00782E7C">
        <w:t>can</w:t>
      </w:r>
      <w:r w:rsidRPr="00B73853">
        <w:t xml:space="preserve"> improve transmission efficiency and minimise the energy consumption</w:t>
      </w:r>
      <w:r>
        <w:t>, which is assumed to be beneficial to IoT over NTN.</w:t>
      </w:r>
    </w:p>
    <w:p w14:paraId="754BE5F7" w14:textId="79D733AF" w:rsidR="00717E7F" w:rsidRPr="00717E7F" w:rsidRDefault="00717E7F" w:rsidP="00717E7F">
      <w:pPr>
        <w:rPr>
          <w:b/>
          <w:bCs/>
          <w:lang w:eastAsia="zh-CN"/>
        </w:rPr>
      </w:pPr>
      <w:r w:rsidRPr="00717E7F">
        <w:rPr>
          <w:b/>
          <w:bCs/>
          <w:lang w:eastAsia="zh-CN"/>
        </w:rPr>
        <w:t xml:space="preserve">Proposal </w:t>
      </w:r>
      <w:r w:rsidR="002633A2">
        <w:rPr>
          <w:b/>
          <w:bCs/>
          <w:lang w:eastAsia="zh-CN"/>
        </w:rPr>
        <w:t>8</w:t>
      </w:r>
      <w:r w:rsidRPr="00717E7F">
        <w:rPr>
          <w:b/>
          <w:bCs/>
          <w:lang w:eastAsia="zh-CN"/>
        </w:rPr>
        <w:t>: Support MO EDT and MT EDT for NB-IoT/eMTC over NTN should be considered to minimise UE’s power consumption.</w:t>
      </w:r>
    </w:p>
    <w:p w14:paraId="67266E8B" w14:textId="77777777" w:rsidR="00492E8E" w:rsidRPr="000C4964" w:rsidRDefault="00492E8E" w:rsidP="00EC14DF">
      <w:pPr>
        <w:rPr>
          <w:b/>
          <w:bCs/>
        </w:rPr>
      </w:pPr>
    </w:p>
    <w:p w14:paraId="5AE27BD1" w14:textId="0E5B7538" w:rsidR="00772C34" w:rsidRDefault="00772C34" w:rsidP="00772C34">
      <w:pPr>
        <w:pStyle w:val="Heading2"/>
      </w:pPr>
      <w:r>
        <w:t>3.</w:t>
      </w:r>
      <w:r w:rsidR="006359AD">
        <w:t>2</w:t>
      </w:r>
      <w:r w:rsidRPr="006E13D1">
        <w:tab/>
      </w:r>
      <w:r w:rsidR="006359AD">
        <w:t xml:space="preserve">Idle mode Aspects: </w:t>
      </w:r>
      <w:r>
        <w:t xml:space="preserve">System information enhancements </w:t>
      </w:r>
    </w:p>
    <w:p w14:paraId="5B164AF7" w14:textId="0876DD07" w:rsidR="000A3FB0" w:rsidRDefault="000A3FB0" w:rsidP="000A3FB0">
      <w:r>
        <w:t xml:space="preserve">For stationary or low mobility IoT devices in terrestrial deployments, the idle mode power consumption related to system information acquisition is minimum as the device does not change its cell hence re-acquisition of system information due to cell reselection is not applicable. As the system information changes in the serving cell is infrequent the power consumption impact is very minimum. </w:t>
      </w:r>
    </w:p>
    <w:p w14:paraId="530A0978" w14:textId="2252E539" w:rsidR="000A3FB0" w:rsidRDefault="000A3FB0" w:rsidP="000A3FB0">
      <w:r>
        <w:t>For IoT-NTN device, even</w:t>
      </w:r>
      <w:r w:rsidR="00C41C87">
        <w:t xml:space="preserve"> </w:t>
      </w:r>
      <w:r>
        <w:t xml:space="preserve">though it is stationary due to the movement of NTN cells over geographical coverage, the stationary UE may see change of cell as part of its idle mode monitoring. Every cell change will also involve re-acquisition of system information of new cell. </w:t>
      </w:r>
      <w:r w:rsidR="00F624FB">
        <w:t>Depending on the cell change frequency, the impact of this activity on overall battery lifetime also varies. Hence we propose to analyse additional enhancements for system information enhancements to minimise the power consumption impact to stationary NTN-IOT devices.</w:t>
      </w:r>
    </w:p>
    <w:p w14:paraId="5E47558C" w14:textId="2FCADC07" w:rsidR="00F624FB" w:rsidRDefault="00F624FB" w:rsidP="00D97B7C">
      <w:pPr>
        <w:rPr>
          <w:b/>
          <w:bCs/>
        </w:rPr>
      </w:pPr>
      <w:r w:rsidRPr="00D97B7C">
        <w:rPr>
          <w:b/>
          <w:bCs/>
        </w:rPr>
        <w:t xml:space="preserve">Proposal </w:t>
      </w:r>
      <w:r w:rsidR="002633A2">
        <w:rPr>
          <w:b/>
          <w:bCs/>
          <w:lang w:eastAsia="zh-CN"/>
        </w:rPr>
        <w:t>9</w:t>
      </w:r>
      <w:r w:rsidRPr="00D97B7C">
        <w:rPr>
          <w:b/>
          <w:bCs/>
        </w:rPr>
        <w:t>: IoT-NTN study should consider system information enhancements to minimise the impacts to stationary IoT devices.</w:t>
      </w:r>
    </w:p>
    <w:p w14:paraId="1467B29E" w14:textId="77777777" w:rsidR="009A3868" w:rsidRPr="00D97B7C" w:rsidRDefault="009A3868" w:rsidP="00D97B7C">
      <w:pPr>
        <w:rPr>
          <w:b/>
          <w:bCs/>
        </w:rPr>
      </w:pPr>
    </w:p>
    <w:p w14:paraId="5E506D4E" w14:textId="693E8F20" w:rsidR="00772C34" w:rsidRDefault="00772C34" w:rsidP="00772C34">
      <w:pPr>
        <w:pStyle w:val="Heading2"/>
      </w:pPr>
      <w:r>
        <w:lastRenderedPageBreak/>
        <w:t>3.</w:t>
      </w:r>
      <w:r w:rsidR="006359AD">
        <w:t>3</w:t>
      </w:r>
      <w:r w:rsidRPr="006E13D1">
        <w:tab/>
      </w:r>
      <w:r w:rsidR="006359AD">
        <w:t xml:space="preserve">Idle mode Aspects: </w:t>
      </w:r>
      <w:r>
        <w:t>Tracking area enhancements</w:t>
      </w:r>
    </w:p>
    <w:p w14:paraId="39481F02" w14:textId="77777777" w:rsidR="00100F4E" w:rsidRDefault="00100F4E" w:rsidP="00100F4E">
      <w:r>
        <w:t>The fixed TA solution agreed as part of NR-NTN can also be considered for IoT-NTN. Out of the two solutions proposed for tracking area enhancements, soft-switching of tracking area is preferred for IoT-NTN as it will minimise the impact of system information acquisition. Further analysis on the tracking area enhancements needed considering the system information change impact to IoT-NTN devices.</w:t>
      </w:r>
    </w:p>
    <w:p w14:paraId="3C94EB66" w14:textId="631F5CCC" w:rsidR="00100F4E" w:rsidRPr="003364B1" w:rsidRDefault="00100F4E" w:rsidP="00100F4E">
      <w:pPr>
        <w:rPr>
          <w:b/>
          <w:bCs/>
        </w:rPr>
      </w:pPr>
      <w:r>
        <w:t xml:space="preserve"> </w:t>
      </w:r>
      <w:r w:rsidRPr="003364B1">
        <w:rPr>
          <w:b/>
          <w:bCs/>
        </w:rPr>
        <w:t xml:space="preserve">Proposal </w:t>
      </w:r>
      <w:r w:rsidR="002633A2">
        <w:rPr>
          <w:b/>
          <w:bCs/>
          <w:lang w:eastAsia="zh-CN"/>
        </w:rPr>
        <w:t>10</w:t>
      </w:r>
      <w:r w:rsidRPr="003364B1">
        <w:rPr>
          <w:b/>
          <w:bCs/>
        </w:rPr>
        <w:t xml:space="preserve">: </w:t>
      </w:r>
      <w:r>
        <w:rPr>
          <w:b/>
          <w:bCs/>
        </w:rPr>
        <w:t>Tracking area enhancements of NR-NTN should be applicable for IoT-NTN with additional changes to minimise the UE impact for system information re-</w:t>
      </w:r>
      <w:r w:rsidR="000E5C4F">
        <w:rPr>
          <w:b/>
          <w:bCs/>
        </w:rPr>
        <w:t>acquisition</w:t>
      </w:r>
      <w:r>
        <w:rPr>
          <w:b/>
          <w:bCs/>
        </w:rPr>
        <w:t>.</w:t>
      </w:r>
    </w:p>
    <w:p w14:paraId="2924C8E3" w14:textId="381783B1" w:rsidR="00100F4E" w:rsidRPr="0068720A" w:rsidRDefault="00100F4E" w:rsidP="00D97B7C"/>
    <w:p w14:paraId="7298BF6D" w14:textId="344DBA82" w:rsidR="006359AD" w:rsidRDefault="006359AD" w:rsidP="006359AD">
      <w:pPr>
        <w:pStyle w:val="Heading2"/>
        <w:rPr>
          <w:rFonts w:eastAsia="Times New Roman"/>
        </w:rPr>
      </w:pPr>
      <w:r>
        <w:rPr>
          <w:rFonts w:hint="eastAsia"/>
          <w:lang w:eastAsia="zh-CN"/>
        </w:rPr>
        <w:t>3</w:t>
      </w:r>
      <w:r>
        <w:t>.4</w:t>
      </w:r>
      <w:r w:rsidRPr="006E13D1">
        <w:tab/>
      </w:r>
      <w:r>
        <w:t xml:space="preserve">Idle mode </w:t>
      </w:r>
      <w:r w:rsidR="00F624FB">
        <w:rPr>
          <w:rFonts w:eastAsia="Times New Roman"/>
        </w:rPr>
        <w:t xml:space="preserve">Aspects: Cell Reselection </w:t>
      </w:r>
    </w:p>
    <w:p w14:paraId="5B3D6824" w14:textId="05907927" w:rsidR="001F0CB5" w:rsidRDefault="00100F4E" w:rsidP="00A209D6">
      <w:r>
        <w:t>In case of IoT-NTN devices dep</w:t>
      </w:r>
      <w:r w:rsidR="000E5C4F">
        <w:t>loyed for transportation related scenarios, the UE may also be in the coverage of Terrestrial IoT network coverage during mobility. Whether the IoT-NTN device can continue to camp on the NTN layer or switching needed towards terrestrial network depending on the overall power consumption needed for NTN access and access via terrestrial network. For NTN access, if the GNSS based pre-compensation is pre-requisite for uplink transmission, cell reselection to terrestrial network cell is preferred to minimise the overall energy consumption. If the UE can trigger random access procedure based on the timing offset broadcasted in the system information of NTN cell, in that case the cell reselection to terrestrial network layer depends on the actual coverage of NTN and TN cells. In this case it can follow the current cell reselection mechanism based on radio condition.</w:t>
      </w:r>
    </w:p>
    <w:p w14:paraId="3BA3AF36" w14:textId="4537DDDE" w:rsidR="00712B91" w:rsidRDefault="001B3C88" w:rsidP="00A209D6">
      <w:r w:rsidRPr="003364B1">
        <w:rPr>
          <w:b/>
          <w:bCs/>
        </w:rPr>
        <w:t xml:space="preserve">Proposal </w:t>
      </w:r>
      <w:r w:rsidR="00415BBC">
        <w:rPr>
          <w:rFonts w:hint="eastAsia"/>
          <w:b/>
          <w:bCs/>
          <w:lang w:eastAsia="zh-CN"/>
        </w:rPr>
        <w:t>1</w:t>
      </w:r>
      <w:r w:rsidR="002633A2">
        <w:rPr>
          <w:b/>
          <w:bCs/>
          <w:lang w:eastAsia="zh-CN"/>
        </w:rPr>
        <w:t>1</w:t>
      </w:r>
      <w:r w:rsidRPr="003364B1">
        <w:rPr>
          <w:b/>
          <w:bCs/>
        </w:rPr>
        <w:t xml:space="preserve">: </w:t>
      </w:r>
      <w:r>
        <w:rPr>
          <w:b/>
          <w:bCs/>
        </w:rPr>
        <w:t>RAN2 to discuss and conclude on the support for idle mode cell reselection between NTN and TN.</w:t>
      </w:r>
    </w:p>
    <w:p w14:paraId="4762EEC4" w14:textId="74B394FD" w:rsidR="00712B91" w:rsidRDefault="001B3C88" w:rsidP="00A209D6">
      <w:r>
        <w:t>If idle mode cell reselection between NTN and TN is supported for IoT-NTN, the NTN cells may need to include terrestrial network cells as part of system information. As the NTN cells are sweeping across different geographical areas, the system information contents may also require frequent changes. This will also impact the stationary NTN-IoT devices in the network. NTN system information may consider only including the frequency information without actual cell-list in this case. Inclusion of NTN cell information in TN cells may also have the same impact due to moving neighbour-cells for fixed terrestrial cell.</w:t>
      </w:r>
    </w:p>
    <w:p w14:paraId="2867B4A2" w14:textId="0B476CBC" w:rsidR="001B3C88" w:rsidRDefault="001B3C88" w:rsidP="00A209D6">
      <w:pPr>
        <w:rPr>
          <w:b/>
          <w:bCs/>
        </w:rPr>
      </w:pPr>
      <w:r w:rsidRPr="003364B1">
        <w:rPr>
          <w:b/>
          <w:bCs/>
        </w:rPr>
        <w:t xml:space="preserve">Proposal </w:t>
      </w:r>
      <w:r w:rsidR="00415BBC">
        <w:rPr>
          <w:rFonts w:hint="eastAsia"/>
          <w:b/>
          <w:bCs/>
          <w:lang w:eastAsia="zh-CN"/>
        </w:rPr>
        <w:t>1</w:t>
      </w:r>
      <w:r w:rsidR="002633A2">
        <w:rPr>
          <w:b/>
          <w:bCs/>
          <w:lang w:eastAsia="zh-CN"/>
        </w:rPr>
        <w:t>2</w:t>
      </w:r>
      <w:r w:rsidRPr="003364B1">
        <w:rPr>
          <w:b/>
          <w:bCs/>
        </w:rPr>
        <w:t xml:space="preserve">: </w:t>
      </w:r>
      <w:r w:rsidR="0000058A">
        <w:rPr>
          <w:b/>
          <w:bCs/>
        </w:rPr>
        <w:t>Impact of frequent change in list of terrestrial network neighbours on system information acquisition at IoT-NTN device needs to be factored in as part of supporting NTN-TN idle mode mobility</w:t>
      </w:r>
      <w:r>
        <w:rPr>
          <w:b/>
          <w:bCs/>
        </w:rPr>
        <w:t>.</w:t>
      </w:r>
    </w:p>
    <w:p w14:paraId="5E5A0503" w14:textId="453DB557" w:rsidR="00C1759F" w:rsidRDefault="00C1759F" w:rsidP="00A209D6">
      <w:r>
        <w:t>When the UE is configured with eDRX of longer duration, due to satellite mobility, whenever the UE monitors the downlink for PTW of eDRX it may have reselected to new cell due to NTN cell mobility. In this case prior to downlink synchronisation with new cell, the UE may need frequency/timing pre-compensation. Further analysis is needed on whether GNSS operation is needed prior to cell reselection or not for eDRX configuration. If GNSS operation is needed prior to idle mode cell change, it will further impact the power consumption.</w:t>
      </w:r>
    </w:p>
    <w:p w14:paraId="6B6298E7" w14:textId="4E232F07" w:rsidR="00C1759F" w:rsidRPr="00D97B7C" w:rsidRDefault="00C1759F" w:rsidP="00A209D6">
      <w:pPr>
        <w:rPr>
          <w:b/>
          <w:bCs/>
        </w:rPr>
      </w:pPr>
      <w:r w:rsidRPr="00D97B7C">
        <w:rPr>
          <w:b/>
          <w:bCs/>
        </w:rPr>
        <w:t>Proposal 1</w:t>
      </w:r>
      <w:r w:rsidR="002633A2">
        <w:rPr>
          <w:b/>
          <w:bCs/>
        </w:rPr>
        <w:t>3</w:t>
      </w:r>
      <w:r w:rsidRPr="00D97B7C">
        <w:rPr>
          <w:b/>
          <w:bCs/>
        </w:rPr>
        <w:t>: RAN2 to analyse the dependency on GNSS based pre-compensation for idle mode cell reselection and other idle mode operations as part of NTN-IoT study.</w:t>
      </w:r>
    </w:p>
    <w:p w14:paraId="671449E9" w14:textId="77777777" w:rsidR="001B3C88" w:rsidRDefault="001B3C88" w:rsidP="00A209D6"/>
    <w:p w14:paraId="6345BADF" w14:textId="535131D5" w:rsidR="00200D2F" w:rsidRDefault="00A36131" w:rsidP="00200D2F">
      <w:pPr>
        <w:pStyle w:val="Heading2"/>
      </w:pPr>
      <w:r>
        <w:rPr>
          <w:rFonts w:hint="eastAsia"/>
          <w:lang w:eastAsia="zh-CN"/>
        </w:rPr>
        <w:t>3</w:t>
      </w:r>
      <w:r w:rsidR="00200D2F">
        <w:t>.</w:t>
      </w:r>
      <w:r w:rsidR="006359AD">
        <w:t>5</w:t>
      </w:r>
      <w:r w:rsidRPr="006E13D1">
        <w:tab/>
      </w:r>
      <w:r w:rsidR="006359AD">
        <w:t xml:space="preserve">Connected mode Aspects: </w:t>
      </w:r>
      <w:r w:rsidR="00200D2F">
        <w:t xml:space="preserve">HARQ operation </w:t>
      </w:r>
    </w:p>
    <w:p w14:paraId="4F050900" w14:textId="77777777" w:rsidR="00B10BEB" w:rsidRDefault="00B10BEB" w:rsidP="00B10BEB">
      <w:r>
        <w:t>Due to long RTT in NTN, the issue of HARQ stalling will happen. F</w:t>
      </w:r>
      <w:r w:rsidRPr="00595152">
        <w:t>or eMBB traffic, the large RTT can reduce the throughput significantly as the number of HARQ processes are much smaller than the RTT (e.g. 16 HARQ processes are available in NR</w:t>
      </w:r>
      <w:r>
        <w:t xml:space="preserve"> while the RTT in NTN will up to 541ms</w:t>
      </w:r>
      <w:r w:rsidRPr="00595152">
        <w:t>). To overcome this issue,</w:t>
      </w:r>
      <w:r>
        <w:t xml:space="preserve"> RAN2 agreed that, for DL, HARQ feedback can be enabled/disabled in Rel-17 NR over NTN WI. </w:t>
      </w:r>
    </w:p>
    <w:p w14:paraId="0F3727C2" w14:textId="7C630870" w:rsidR="00B10BEB" w:rsidRDefault="00B10BEB" w:rsidP="00B10BEB">
      <w:r>
        <w:t>In IoT over NTN, the m</w:t>
      </w:r>
      <w:r w:rsidRPr="00F74031">
        <w:t>inimum throughput requirements</w:t>
      </w:r>
      <w:r>
        <w:t xml:space="preserve"> and delay requirement is not identified yet, which should be studied in this SI. </w:t>
      </w:r>
      <w:r w:rsidRPr="00247C67">
        <w:t>Generally, IoT services do not require high throughput and are delay tolerant (e.g. asset tracking, smart meter, sensors).</w:t>
      </w:r>
      <w:r>
        <w:t xml:space="preserve"> </w:t>
      </w:r>
      <w:r w:rsidRPr="00F74031">
        <w:t xml:space="preserve">This make IoT services well-suited for NTN. </w:t>
      </w:r>
      <w:r w:rsidRPr="00247C67">
        <w:t>For instance, in NB-IoT and eMTC, the latency requirement is 10 seconds for a UE to connect to the network and successfully transmit a report.</w:t>
      </w:r>
      <w:r>
        <w:t xml:space="preserve"> If the expected IoT over NTN service do not require high thought and are delay tolerant, it seems legacy HARQ mechanism can be re-used. However, there are still </w:t>
      </w:r>
      <w:r w:rsidRPr="00DB0E32">
        <w:t xml:space="preserve">Software update/reconfiguration </w:t>
      </w:r>
      <w:r>
        <w:t xml:space="preserve">as defined in </w:t>
      </w:r>
      <w:r w:rsidR="00E777BE">
        <w:t>TR</w:t>
      </w:r>
      <w:r>
        <w:t xml:space="preserve">45.820 E.2 which may need high throughput for </w:t>
      </w:r>
      <w:r w:rsidR="00F16F66" w:rsidRPr="00DB0E32">
        <w:t xml:space="preserve">large payload sizes </w:t>
      </w:r>
      <w:r>
        <w:t>to</w:t>
      </w:r>
      <w:r w:rsidR="00F16F66" w:rsidRPr="00DB0E32">
        <w:t xml:space="preserve"> complete software updates</w:t>
      </w:r>
      <w:r>
        <w:t>. The HARQ feedback disabling is helpful to avoid HARQ stalling to provide higher throughput and avoid UE’s power consumption.</w:t>
      </w:r>
    </w:p>
    <w:p w14:paraId="51FD0063" w14:textId="28E0E244" w:rsidR="00B10BEB" w:rsidRPr="00DB0E32" w:rsidRDefault="00B10BEB" w:rsidP="00B10BEB">
      <w:r>
        <w:lastRenderedPageBreak/>
        <w:t>On the other hand, UE’s throughput can be improved if UE support multiple HARQ processes. The more HARQ processes UE supported, the more HARQ stalling will be mitigated</w:t>
      </w:r>
      <w:r w:rsidR="007271A3">
        <w:t xml:space="preserve">. </w:t>
      </w:r>
      <w:r>
        <w:t xml:space="preserve"> </w:t>
      </w:r>
    </w:p>
    <w:p w14:paraId="7204B7AB" w14:textId="36D00B5E" w:rsidR="00B10BEB" w:rsidRPr="00E36545" w:rsidRDefault="00B10BEB" w:rsidP="00B10BEB">
      <w:pPr>
        <w:rPr>
          <w:b/>
          <w:bCs/>
        </w:rPr>
      </w:pPr>
      <w:r w:rsidRPr="00E36545">
        <w:rPr>
          <w:b/>
          <w:bCs/>
        </w:rPr>
        <w:t xml:space="preserve">Proposal </w:t>
      </w:r>
      <w:r w:rsidR="00415BBC">
        <w:rPr>
          <w:rFonts w:hint="eastAsia"/>
          <w:b/>
          <w:bCs/>
          <w:lang w:eastAsia="zh-CN"/>
        </w:rPr>
        <w:t>1</w:t>
      </w:r>
      <w:r w:rsidR="002633A2">
        <w:rPr>
          <w:b/>
          <w:bCs/>
          <w:lang w:eastAsia="zh-CN"/>
        </w:rPr>
        <w:t>4</w:t>
      </w:r>
      <w:r w:rsidRPr="00E36545">
        <w:rPr>
          <w:b/>
          <w:bCs/>
        </w:rPr>
        <w:t xml:space="preserve">: The throughput and latency requirement </w:t>
      </w:r>
      <w:r w:rsidR="00D55D57">
        <w:rPr>
          <w:b/>
          <w:bCs/>
        </w:rPr>
        <w:t xml:space="preserve">should be addressed first to </w:t>
      </w:r>
      <w:r w:rsidR="006C1EDB">
        <w:rPr>
          <w:b/>
          <w:bCs/>
        </w:rPr>
        <w:t>facilitate</w:t>
      </w:r>
      <w:r w:rsidRPr="00E36545">
        <w:rPr>
          <w:b/>
          <w:bCs/>
        </w:rPr>
        <w:t xml:space="preserve"> HARQ operation design</w:t>
      </w:r>
      <w:r>
        <w:rPr>
          <w:b/>
          <w:bCs/>
        </w:rPr>
        <w:t xml:space="preserve"> </w:t>
      </w:r>
      <w:r w:rsidR="006C1EDB">
        <w:rPr>
          <w:b/>
          <w:bCs/>
        </w:rPr>
        <w:t>for</w:t>
      </w:r>
      <w:r w:rsidRPr="00E36545">
        <w:rPr>
          <w:b/>
          <w:bCs/>
        </w:rPr>
        <w:t xml:space="preserve"> IoT NTN.</w:t>
      </w:r>
    </w:p>
    <w:p w14:paraId="3A0715EE" w14:textId="6650D73C" w:rsidR="00B10BEB" w:rsidRPr="00E36545" w:rsidRDefault="00B10BEB" w:rsidP="00B10BEB">
      <w:pPr>
        <w:rPr>
          <w:b/>
          <w:bCs/>
        </w:rPr>
      </w:pPr>
      <w:r w:rsidRPr="00E36545">
        <w:rPr>
          <w:b/>
          <w:bCs/>
        </w:rPr>
        <w:t xml:space="preserve">Proposal </w:t>
      </w:r>
      <w:r w:rsidR="00415BBC">
        <w:rPr>
          <w:rFonts w:hint="eastAsia"/>
          <w:b/>
          <w:bCs/>
          <w:lang w:eastAsia="zh-CN"/>
        </w:rPr>
        <w:t>1</w:t>
      </w:r>
      <w:r w:rsidR="002633A2">
        <w:rPr>
          <w:b/>
          <w:bCs/>
          <w:lang w:eastAsia="zh-CN"/>
        </w:rPr>
        <w:t>5</w:t>
      </w:r>
      <w:r w:rsidRPr="00E36545">
        <w:rPr>
          <w:b/>
          <w:bCs/>
        </w:rPr>
        <w:t xml:space="preserve">: Disabling HARQ feedback for DL, increasing HARQ number or other enhancements can be considered to avoid HARQ stalling in </w:t>
      </w:r>
      <w:r w:rsidR="00313490">
        <w:rPr>
          <w:b/>
          <w:bCs/>
        </w:rPr>
        <w:t xml:space="preserve">IoT </w:t>
      </w:r>
      <w:r w:rsidRPr="00E36545">
        <w:rPr>
          <w:b/>
          <w:bCs/>
        </w:rPr>
        <w:t>NTN.</w:t>
      </w:r>
    </w:p>
    <w:p w14:paraId="0BC10FDA" w14:textId="77777777" w:rsidR="00200D2F" w:rsidRDefault="00200D2F" w:rsidP="00200D2F"/>
    <w:p w14:paraId="0F5B2A60" w14:textId="1E863FF2" w:rsidR="00200D2F" w:rsidRDefault="00A36131" w:rsidP="00200D2F">
      <w:pPr>
        <w:pStyle w:val="Heading2"/>
      </w:pPr>
      <w:r>
        <w:rPr>
          <w:rFonts w:hint="eastAsia"/>
          <w:lang w:eastAsia="zh-CN"/>
        </w:rPr>
        <w:t>3</w:t>
      </w:r>
      <w:r w:rsidR="00200D2F">
        <w:t>.</w:t>
      </w:r>
      <w:r w:rsidR="006359AD">
        <w:t>6</w:t>
      </w:r>
      <w:r w:rsidRPr="006E13D1">
        <w:tab/>
      </w:r>
      <w:r w:rsidR="006359AD">
        <w:t xml:space="preserve">Connected mode Aspects: </w:t>
      </w:r>
      <w:r w:rsidR="00491751">
        <w:t>RLC/PDCP</w:t>
      </w:r>
      <w:r w:rsidR="00200D2F">
        <w:t xml:space="preserve"> </w:t>
      </w:r>
    </w:p>
    <w:p w14:paraId="39C181D4" w14:textId="2A19A2E0" w:rsidR="00687110" w:rsidRDefault="00687110" w:rsidP="00D97B7C">
      <w:pPr>
        <w:rPr>
          <w:lang w:val="en-US"/>
        </w:rPr>
      </w:pPr>
      <w:r>
        <w:rPr>
          <w:lang w:val="en-US"/>
        </w:rPr>
        <w:t xml:space="preserve">For IoT over NTN, the RLC </w:t>
      </w:r>
      <w:r w:rsidRPr="00687110">
        <w:rPr>
          <w:lang w:val="en-US"/>
        </w:rPr>
        <w:t>t-PollRetransmit</w:t>
      </w:r>
      <w:r>
        <w:rPr>
          <w:b/>
          <w:bCs/>
          <w:lang w:eastAsia="zh-CN"/>
        </w:rPr>
        <w:t xml:space="preserve"> </w:t>
      </w:r>
      <w:r>
        <w:rPr>
          <w:lang w:val="en-US"/>
        </w:rPr>
        <w:t>timer value should at least cover not only the RTD of NTN (up to 541ms in GEO) but also the duration of DL transmission repetitions and UL transmission repetitions of a HARQ.  The required repetition number for IoT over NTN depends on the maximum MCL to be supported in NTN scenario, which should be studied in RAN1. In eMTC, t</w:t>
      </w:r>
      <w:r w:rsidRPr="001027B7">
        <w:rPr>
          <w:lang w:val="en-US"/>
        </w:rPr>
        <w:t>he maximum configurable expiration time for t-PollRetransmit timer is 4000ms which</w:t>
      </w:r>
      <w:r>
        <w:rPr>
          <w:lang w:val="en-US"/>
        </w:rPr>
        <w:t xml:space="preserve"> may need value range modification after RAN1 decides the maximum supported repetition numbers of MPDCCH, MPDSCH, MPUSCH for NTN. For NB-IoT, the maximum value of </w:t>
      </w:r>
      <w:r>
        <w:rPr>
          <w:rStyle w:val="ie"/>
        </w:rPr>
        <w:t xml:space="preserve">T-PollRetransmit-NB is 300,000 ms which seems no modification is needed for </w:t>
      </w:r>
      <w:r>
        <w:rPr>
          <w:rStyle w:val="ie"/>
          <w:rFonts w:hint="eastAsia"/>
          <w:lang w:eastAsia="zh-CN"/>
        </w:rPr>
        <w:t>NTN</w:t>
      </w:r>
      <w:r>
        <w:rPr>
          <w:rStyle w:val="ie"/>
        </w:rPr>
        <w:t xml:space="preserve">. </w:t>
      </w:r>
      <w:r>
        <w:rPr>
          <w:lang w:val="en-US"/>
        </w:rPr>
        <w:t>Similarly, t</w:t>
      </w:r>
      <w:r w:rsidRPr="001027B7">
        <w:rPr>
          <w:lang w:val="en-US"/>
        </w:rPr>
        <w:t xml:space="preserve">he maximum configurable expiration time for </w:t>
      </w:r>
      <w:r w:rsidRPr="00F67347">
        <w:rPr>
          <w:lang w:val="en-US"/>
        </w:rPr>
        <w:t xml:space="preserve">t-StatusProhibit </w:t>
      </w:r>
      <w:r w:rsidRPr="001027B7">
        <w:rPr>
          <w:lang w:val="en-US"/>
        </w:rPr>
        <w:t xml:space="preserve">timer is </w:t>
      </w:r>
      <w:r>
        <w:rPr>
          <w:lang w:val="en-US"/>
        </w:rPr>
        <w:t>24</w:t>
      </w:r>
      <w:r w:rsidRPr="001027B7">
        <w:rPr>
          <w:lang w:val="en-US"/>
        </w:rPr>
        <w:t>00ms which</w:t>
      </w:r>
      <w:r>
        <w:rPr>
          <w:lang w:val="en-US"/>
        </w:rPr>
        <w:t xml:space="preserve"> may need value range modification as well.</w:t>
      </w:r>
    </w:p>
    <w:p w14:paraId="4F9E69AF" w14:textId="465DFA94" w:rsidR="00687110" w:rsidRPr="00717E7F" w:rsidRDefault="00687110" w:rsidP="00D97B7C">
      <w:pPr>
        <w:rPr>
          <w:b/>
          <w:bCs/>
          <w:lang w:eastAsia="zh-CN"/>
        </w:rPr>
      </w:pPr>
      <w:r w:rsidRPr="00717E7F">
        <w:rPr>
          <w:b/>
          <w:bCs/>
          <w:lang w:eastAsia="zh-CN"/>
        </w:rPr>
        <w:t xml:space="preserve">Proposal </w:t>
      </w:r>
      <w:r w:rsidR="00415BBC">
        <w:rPr>
          <w:rFonts w:hint="eastAsia"/>
          <w:b/>
          <w:bCs/>
          <w:lang w:eastAsia="zh-CN"/>
        </w:rPr>
        <w:t>1</w:t>
      </w:r>
      <w:r w:rsidR="002633A2">
        <w:rPr>
          <w:b/>
          <w:bCs/>
          <w:lang w:eastAsia="zh-CN"/>
        </w:rPr>
        <w:t>6</w:t>
      </w:r>
      <w:r w:rsidRPr="00717E7F">
        <w:rPr>
          <w:b/>
          <w:bCs/>
          <w:lang w:eastAsia="zh-CN"/>
        </w:rPr>
        <w:t xml:space="preserve">: </w:t>
      </w:r>
      <w:r>
        <w:rPr>
          <w:b/>
          <w:bCs/>
          <w:lang w:eastAsia="zh-CN"/>
        </w:rPr>
        <w:t xml:space="preserve">RAN2 to study the value range modification </w:t>
      </w:r>
      <w:r w:rsidR="00C8261A">
        <w:rPr>
          <w:b/>
          <w:bCs/>
          <w:lang w:eastAsia="zh-CN"/>
        </w:rPr>
        <w:t>on</w:t>
      </w:r>
      <w:r>
        <w:rPr>
          <w:b/>
          <w:bCs/>
          <w:lang w:eastAsia="zh-CN"/>
        </w:rPr>
        <w:t xml:space="preserve"> RLC </w:t>
      </w:r>
      <w:r w:rsidRPr="00387332">
        <w:rPr>
          <w:b/>
          <w:bCs/>
          <w:lang w:eastAsia="zh-CN"/>
        </w:rPr>
        <w:t>t-PollRetransmit</w:t>
      </w:r>
      <w:r>
        <w:rPr>
          <w:b/>
          <w:bCs/>
          <w:lang w:eastAsia="zh-CN"/>
        </w:rPr>
        <w:t xml:space="preserve"> timer and </w:t>
      </w:r>
      <w:r w:rsidRPr="00F67347">
        <w:rPr>
          <w:b/>
          <w:bCs/>
          <w:lang w:eastAsia="zh-CN"/>
        </w:rPr>
        <w:t xml:space="preserve">t-StatusProhibit timer </w:t>
      </w:r>
      <w:r>
        <w:rPr>
          <w:b/>
          <w:bCs/>
          <w:lang w:eastAsia="zh-CN"/>
        </w:rPr>
        <w:t xml:space="preserve">for eMTC over NTN, taking into account both RTD and </w:t>
      </w:r>
      <w:r w:rsidR="00CE561C">
        <w:rPr>
          <w:b/>
          <w:bCs/>
          <w:lang w:eastAsia="zh-CN"/>
        </w:rPr>
        <w:t xml:space="preserve">number of </w:t>
      </w:r>
      <w:r>
        <w:rPr>
          <w:b/>
          <w:bCs/>
          <w:lang w:eastAsia="zh-CN"/>
        </w:rPr>
        <w:t>channel repetition</w:t>
      </w:r>
      <w:r w:rsidR="00CE561C">
        <w:rPr>
          <w:b/>
          <w:bCs/>
          <w:lang w:eastAsia="zh-CN"/>
        </w:rPr>
        <w:t>s</w:t>
      </w:r>
      <w:r w:rsidRPr="00717E7F">
        <w:rPr>
          <w:b/>
          <w:bCs/>
          <w:lang w:eastAsia="zh-CN"/>
        </w:rPr>
        <w:t>.</w:t>
      </w:r>
    </w:p>
    <w:p w14:paraId="0B4941A2" w14:textId="4FE0470D" w:rsidR="00687110" w:rsidRDefault="00687110" w:rsidP="00D97B7C">
      <w:pPr>
        <w:rPr>
          <w:rFonts w:eastAsia="Malgun Gothic" w:cs="Arial"/>
          <w:lang w:eastAsia="ko-KR"/>
        </w:rPr>
      </w:pPr>
      <w:r>
        <w:rPr>
          <w:rFonts w:eastAsiaTheme="minorEastAsia"/>
          <w:lang w:eastAsia="ko-KR"/>
        </w:rPr>
        <w:t>In PDCP, t</w:t>
      </w:r>
      <w:r w:rsidRPr="00A33280">
        <w:rPr>
          <w:lang w:val="en-US"/>
        </w:rPr>
        <w:t>he transmitting PDCP entity shall discard the PDCP SDU when the discardTimer expires for a PDCP SDU or when a</w:t>
      </w:r>
      <w:r>
        <w:rPr>
          <w:lang w:val="en-US"/>
        </w:rPr>
        <w:t xml:space="preserve"> </w:t>
      </w:r>
      <w:r w:rsidRPr="00A33280">
        <w:rPr>
          <w:lang w:val="en-US"/>
        </w:rPr>
        <w:t xml:space="preserve">status report confirms the successful delivery. </w:t>
      </w:r>
      <w:r>
        <w:rPr>
          <w:lang w:val="en-US"/>
        </w:rPr>
        <w:t>T</w:t>
      </w:r>
      <w:r w:rsidRPr="00A33280">
        <w:rPr>
          <w:lang w:val="en-US"/>
        </w:rPr>
        <w:t>he discardTimer can be configured between 10 ms and</w:t>
      </w:r>
      <w:r>
        <w:rPr>
          <w:lang w:val="en-US"/>
        </w:rPr>
        <w:t xml:space="preserve"> </w:t>
      </w:r>
      <w:r w:rsidRPr="00A33280">
        <w:rPr>
          <w:lang w:val="en-US"/>
        </w:rPr>
        <w:t xml:space="preserve">1500 ms </w:t>
      </w:r>
      <w:r>
        <w:rPr>
          <w:lang w:val="en-US"/>
        </w:rPr>
        <w:t xml:space="preserve">for eMTC and between 0 and 81,920ms for NB-IoT, </w:t>
      </w:r>
      <w:r w:rsidRPr="00A33280">
        <w:rPr>
          <w:lang w:val="en-US"/>
        </w:rPr>
        <w:t xml:space="preserve">or </w:t>
      </w:r>
      <w:r>
        <w:rPr>
          <w:lang w:val="en-US"/>
        </w:rPr>
        <w:t xml:space="preserve">it </w:t>
      </w:r>
      <w:r w:rsidRPr="00A33280">
        <w:rPr>
          <w:lang w:val="en-US"/>
        </w:rPr>
        <w:t>can be switched off by choosing infinity</w:t>
      </w:r>
      <w:r>
        <w:rPr>
          <w:lang w:val="en-US"/>
        </w:rPr>
        <w:t>. T</w:t>
      </w:r>
      <w:r>
        <w:rPr>
          <w:rFonts w:eastAsiaTheme="minorEastAsia" w:hint="eastAsia"/>
          <w:lang w:eastAsia="ko-KR"/>
        </w:rPr>
        <w:t xml:space="preserve">he </w:t>
      </w:r>
      <w:r>
        <w:rPr>
          <w:rFonts w:eastAsiaTheme="minorEastAsia"/>
          <w:lang w:eastAsia="ko-KR"/>
        </w:rPr>
        <w:t xml:space="preserve">value of the </w:t>
      </w:r>
      <w:r>
        <w:rPr>
          <w:rFonts w:eastAsiaTheme="minorEastAsia" w:hint="eastAsia"/>
          <w:lang w:eastAsia="ko-KR"/>
        </w:rPr>
        <w:t xml:space="preserve">discardTimer </w:t>
      </w:r>
      <w:r>
        <w:rPr>
          <w:rFonts w:eastAsiaTheme="minorEastAsia"/>
          <w:lang w:eastAsia="ko-KR"/>
        </w:rPr>
        <w:t>should be</w:t>
      </w:r>
      <w:r>
        <w:rPr>
          <w:rFonts w:eastAsiaTheme="minorEastAsia" w:hint="eastAsia"/>
          <w:lang w:eastAsia="ko-KR"/>
        </w:rPr>
        <w:t xml:space="preserve"> configured </w:t>
      </w:r>
      <w:r>
        <w:rPr>
          <w:rFonts w:eastAsiaTheme="minorEastAsia"/>
          <w:lang w:eastAsia="ko-KR"/>
        </w:rPr>
        <w:t xml:space="preserve">based on the QoS requirement </w:t>
      </w:r>
      <w:r>
        <w:rPr>
          <w:rFonts w:eastAsia="Malgun Gothic" w:cs="Arial"/>
          <w:lang w:eastAsia="ko-KR"/>
        </w:rPr>
        <w:t>associated</w:t>
      </w:r>
      <w:r>
        <w:rPr>
          <w:rFonts w:eastAsia="Malgun Gothic" w:cs="Arial" w:hint="eastAsia"/>
          <w:lang w:eastAsia="ko-KR"/>
        </w:rPr>
        <w:t xml:space="preserve"> </w:t>
      </w:r>
      <w:r>
        <w:rPr>
          <w:rFonts w:eastAsia="Malgun Gothic" w:cs="Arial"/>
          <w:lang w:eastAsia="ko-KR"/>
        </w:rPr>
        <w:t>with a service. In NR NTN WI, the discussion on the modification of discardTimer is ongoing, IoT over NTN can follow the same way-forward after NR solution concluded.</w:t>
      </w:r>
    </w:p>
    <w:p w14:paraId="14679C47" w14:textId="1E62DB2E" w:rsidR="00687110" w:rsidRPr="00717E7F" w:rsidRDefault="00687110" w:rsidP="00D97B7C">
      <w:pPr>
        <w:rPr>
          <w:b/>
          <w:bCs/>
          <w:lang w:eastAsia="zh-CN"/>
        </w:rPr>
      </w:pPr>
      <w:r w:rsidRPr="00717E7F">
        <w:rPr>
          <w:b/>
          <w:bCs/>
          <w:lang w:eastAsia="zh-CN"/>
        </w:rPr>
        <w:t xml:space="preserve">Proposal </w:t>
      </w:r>
      <w:r w:rsidR="00415BBC">
        <w:rPr>
          <w:rFonts w:hint="eastAsia"/>
          <w:b/>
          <w:bCs/>
          <w:lang w:eastAsia="zh-CN"/>
        </w:rPr>
        <w:t>1</w:t>
      </w:r>
      <w:r w:rsidR="002633A2">
        <w:rPr>
          <w:b/>
          <w:bCs/>
          <w:lang w:eastAsia="zh-CN"/>
        </w:rPr>
        <w:t>7</w:t>
      </w:r>
      <w:r w:rsidRPr="00717E7F">
        <w:rPr>
          <w:b/>
          <w:bCs/>
          <w:lang w:eastAsia="zh-CN"/>
        </w:rPr>
        <w:t xml:space="preserve">: </w:t>
      </w:r>
      <w:r>
        <w:rPr>
          <w:b/>
          <w:bCs/>
          <w:lang w:eastAsia="zh-CN"/>
        </w:rPr>
        <w:t xml:space="preserve">The modification on PDCP </w:t>
      </w:r>
      <w:r w:rsidRPr="00BD5D92">
        <w:rPr>
          <w:b/>
          <w:bCs/>
          <w:lang w:eastAsia="zh-CN"/>
        </w:rPr>
        <w:t xml:space="preserve">discardTimer for IoT over NTN </w:t>
      </w:r>
      <w:r>
        <w:rPr>
          <w:b/>
          <w:bCs/>
          <w:lang w:eastAsia="zh-CN"/>
        </w:rPr>
        <w:t xml:space="preserve">can </w:t>
      </w:r>
      <w:r w:rsidR="00C8261A">
        <w:rPr>
          <w:b/>
          <w:bCs/>
          <w:lang w:eastAsia="zh-CN"/>
        </w:rPr>
        <w:t>follow</w:t>
      </w:r>
      <w:r w:rsidRPr="00BD5D92">
        <w:rPr>
          <w:b/>
          <w:bCs/>
          <w:lang w:eastAsia="zh-CN"/>
        </w:rPr>
        <w:t xml:space="preserve"> the </w:t>
      </w:r>
      <w:r>
        <w:rPr>
          <w:b/>
          <w:bCs/>
          <w:lang w:eastAsia="zh-CN"/>
        </w:rPr>
        <w:t>way-forward</w:t>
      </w:r>
      <w:r w:rsidRPr="00BD5D92">
        <w:rPr>
          <w:b/>
          <w:bCs/>
          <w:lang w:eastAsia="zh-CN"/>
        </w:rPr>
        <w:t xml:space="preserve"> of NR over NTN</w:t>
      </w:r>
      <w:r w:rsidRPr="00717E7F">
        <w:rPr>
          <w:b/>
          <w:bCs/>
          <w:lang w:eastAsia="zh-CN"/>
        </w:rPr>
        <w:t>.</w:t>
      </w:r>
    </w:p>
    <w:p w14:paraId="6144E91E" w14:textId="77777777" w:rsidR="0035588F" w:rsidRPr="00D11E8E" w:rsidRDefault="0035588F" w:rsidP="00687110">
      <w:pPr>
        <w:ind w:left="568"/>
        <w:rPr>
          <w:lang w:val="en-US"/>
        </w:rPr>
      </w:pPr>
    </w:p>
    <w:p w14:paraId="2BECB1C2" w14:textId="539433A5" w:rsidR="00200D2F" w:rsidRDefault="00A36131" w:rsidP="005A1113">
      <w:pPr>
        <w:pStyle w:val="Heading2"/>
      </w:pPr>
      <w:r>
        <w:rPr>
          <w:rFonts w:hint="eastAsia"/>
          <w:lang w:eastAsia="zh-CN"/>
        </w:rPr>
        <w:t>3</w:t>
      </w:r>
      <w:r w:rsidR="005A1113">
        <w:t>.</w:t>
      </w:r>
      <w:r w:rsidR="006359AD">
        <w:t>7</w:t>
      </w:r>
      <w:r w:rsidRPr="006E13D1">
        <w:tab/>
      </w:r>
      <w:r w:rsidR="006359AD">
        <w:t xml:space="preserve">Connected mode Aspects: </w:t>
      </w:r>
      <w:r w:rsidR="00292447">
        <w:t>UL scheduling enhancement</w:t>
      </w:r>
    </w:p>
    <w:p w14:paraId="63546CA0" w14:textId="1E805348" w:rsidR="00DF1CA4" w:rsidRDefault="00DF1CA4" w:rsidP="00DF1CA4">
      <w:r>
        <w:t>Uplink scheduling enhancements/</w:t>
      </w:r>
      <w:r w:rsidR="00E364F2">
        <w:t xml:space="preserve">scheduling </w:t>
      </w:r>
      <w:r>
        <w:t>options as below are studied and captured in TR38.821</w:t>
      </w:r>
      <w:r w:rsidR="0064610F">
        <w:t>[2]</w:t>
      </w:r>
      <w:r>
        <w:t xml:space="preserve"> for NR NTN with the motivation to reduce scheduling latency. In RAN2-111e meeting, it was agreed that at least Configured grant and BSR over 2-step RACH should be studied.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754"/>
        <w:gridCol w:w="3362"/>
        <w:gridCol w:w="1696"/>
      </w:tblGrid>
      <w:tr w:rsidR="00DF1CA4" w:rsidRPr="00B923D6" w14:paraId="74B246ED" w14:textId="77777777" w:rsidTr="00ED1787">
        <w:trPr>
          <w:jc w:val="center"/>
        </w:trPr>
        <w:tc>
          <w:tcPr>
            <w:tcW w:w="1817" w:type="dxa"/>
            <w:tcBorders>
              <w:top w:val="single" w:sz="4" w:space="0" w:color="auto"/>
              <w:left w:val="single" w:sz="4" w:space="0" w:color="auto"/>
              <w:bottom w:val="single" w:sz="4" w:space="0" w:color="auto"/>
              <w:right w:val="single" w:sz="4" w:space="0" w:color="auto"/>
            </w:tcBorders>
            <w:shd w:val="clear" w:color="auto" w:fill="D9D9D9"/>
            <w:hideMark/>
          </w:tcPr>
          <w:p w14:paraId="38D816C9" w14:textId="77777777" w:rsidR="00DF1CA4" w:rsidRPr="00B923D6" w:rsidRDefault="00DF1CA4" w:rsidP="00ED1787">
            <w:pPr>
              <w:pStyle w:val="TAL"/>
              <w:rPr>
                <w:rFonts w:eastAsia="Calibri"/>
              </w:rPr>
            </w:pPr>
            <w:r w:rsidRPr="00B923D6">
              <w:rPr>
                <w:rFonts w:eastAsia="Calibri"/>
              </w:rPr>
              <w:t>Scheduling option</w:t>
            </w:r>
          </w:p>
        </w:tc>
        <w:tc>
          <w:tcPr>
            <w:tcW w:w="2754" w:type="dxa"/>
            <w:tcBorders>
              <w:top w:val="single" w:sz="4" w:space="0" w:color="auto"/>
              <w:left w:val="single" w:sz="4" w:space="0" w:color="auto"/>
              <w:bottom w:val="single" w:sz="4" w:space="0" w:color="auto"/>
              <w:right w:val="single" w:sz="4" w:space="0" w:color="auto"/>
            </w:tcBorders>
            <w:shd w:val="clear" w:color="auto" w:fill="D9D9D9"/>
            <w:hideMark/>
          </w:tcPr>
          <w:p w14:paraId="54EEDCA2" w14:textId="77777777" w:rsidR="00DF1CA4" w:rsidRPr="00B923D6" w:rsidRDefault="00DF1CA4" w:rsidP="00ED1787">
            <w:pPr>
              <w:pStyle w:val="TAL"/>
              <w:rPr>
                <w:rFonts w:eastAsia="Calibri"/>
              </w:rPr>
            </w:pPr>
            <w:r w:rsidRPr="00B923D6">
              <w:rPr>
                <w:rFonts w:eastAsia="Calibri"/>
              </w:rPr>
              <w:t>Pros</w:t>
            </w:r>
          </w:p>
        </w:tc>
        <w:tc>
          <w:tcPr>
            <w:tcW w:w="3362" w:type="dxa"/>
            <w:tcBorders>
              <w:top w:val="single" w:sz="4" w:space="0" w:color="auto"/>
              <w:left w:val="single" w:sz="4" w:space="0" w:color="auto"/>
              <w:bottom w:val="single" w:sz="4" w:space="0" w:color="auto"/>
              <w:right w:val="single" w:sz="4" w:space="0" w:color="auto"/>
            </w:tcBorders>
            <w:shd w:val="clear" w:color="auto" w:fill="D9D9D9"/>
            <w:hideMark/>
          </w:tcPr>
          <w:p w14:paraId="6A9314DB" w14:textId="77777777" w:rsidR="00DF1CA4" w:rsidRPr="00B923D6" w:rsidRDefault="00DF1CA4" w:rsidP="00ED1787">
            <w:pPr>
              <w:pStyle w:val="TAL"/>
              <w:rPr>
                <w:rFonts w:eastAsia="Calibri"/>
              </w:rPr>
            </w:pPr>
            <w:r w:rsidRPr="00B923D6">
              <w:rPr>
                <w:rFonts w:eastAsia="Calibri"/>
              </w:rPr>
              <w:t>Cons</w:t>
            </w:r>
          </w:p>
        </w:tc>
        <w:tc>
          <w:tcPr>
            <w:tcW w:w="1696" w:type="dxa"/>
            <w:tcBorders>
              <w:top w:val="single" w:sz="4" w:space="0" w:color="auto"/>
              <w:left w:val="single" w:sz="4" w:space="0" w:color="auto"/>
              <w:bottom w:val="single" w:sz="4" w:space="0" w:color="auto"/>
              <w:right w:val="single" w:sz="4" w:space="0" w:color="auto"/>
            </w:tcBorders>
            <w:shd w:val="clear" w:color="auto" w:fill="D9D9D9"/>
            <w:hideMark/>
          </w:tcPr>
          <w:p w14:paraId="279405E1" w14:textId="77777777" w:rsidR="00DF1CA4" w:rsidRPr="00B923D6" w:rsidRDefault="00DF1CA4" w:rsidP="00ED1787">
            <w:pPr>
              <w:pStyle w:val="TAL"/>
              <w:rPr>
                <w:rFonts w:eastAsia="Calibri"/>
              </w:rPr>
            </w:pPr>
            <w:r w:rsidRPr="00B923D6">
              <w:rPr>
                <w:rFonts w:eastAsia="Calibri"/>
              </w:rPr>
              <w:t>Delays*</w:t>
            </w:r>
          </w:p>
        </w:tc>
      </w:tr>
      <w:tr w:rsidR="00DF1CA4" w:rsidRPr="00B923D6" w14:paraId="11AA31A4" w14:textId="77777777" w:rsidTr="00ED1787">
        <w:trPr>
          <w:jc w:val="center"/>
        </w:trPr>
        <w:tc>
          <w:tcPr>
            <w:tcW w:w="1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57E928" w14:textId="77777777" w:rsidR="00DF1CA4" w:rsidRPr="00B923D6" w:rsidRDefault="00DF1CA4" w:rsidP="00ED1787">
            <w:pPr>
              <w:pStyle w:val="TAL"/>
              <w:rPr>
                <w:rFonts w:eastAsia="Calibri"/>
              </w:rPr>
            </w:pPr>
            <w:r w:rsidRPr="00B923D6">
              <w:rPr>
                <w:rFonts w:eastAsia="Calibri"/>
              </w:rPr>
              <w:t>SR-BSR procedure</w:t>
            </w:r>
          </w:p>
        </w:tc>
        <w:tc>
          <w:tcPr>
            <w:tcW w:w="2754" w:type="dxa"/>
            <w:tcBorders>
              <w:top w:val="single" w:sz="4" w:space="0" w:color="auto"/>
              <w:left w:val="single" w:sz="4" w:space="0" w:color="auto"/>
              <w:bottom w:val="single" w:sz="4" w:space="0" w:color="auto"/>
              <w:right w:val="single" w:sz="4" w:space="0" w:color="auto"/>
            </w:tcBorders>
            <w:shd w:val="clear" w:color="auto" w:fill="auto"/>
            <w:hideMark/>
          </w:tcPr>
          <w:p w14:paraId="25989580" w14:textId="77777777" w:rsidR="00DF1CA4" w:rsidRPr="00B923D6" w:rsidRDefault="00DF1CA4" w:rsidP="00ED1787">
            <w:pPr>
              <w:pStyle w:val="TAL"/>
              <w:rPr>
                <w:rFonts w:eastAsia="Calibri"/>
              </w:rPr>
            </w:pPr>
            <w:r w:rsidRPr="00B923D6">
              <w:rPr>
                <w:rFonts w:eastAsia="Calibri"/>
              </w:rPr>
              <w:t>- Low resource overhead required</w:t>
            </w:r>
          </w:p>
        </w:tc>
        <w:tc>
          <w:tcPr>
            <w:tcW w:w="3362" w:type="dxa"/>
            <w:tcBorders>
              <w:top w:val="single" w:sz="4" w:space="0" w:color="auto"/>
              <w:left w:val="single" w:sz="4" w:space="0" w:color="auto"/>
              <w:bottom w:val="single" w:sz="4" w:space="0" w:color="auto"/>
              <w:right w:val="single" w:sz="4" w:space="0" w:color="auto"/>
            </w:tcBorders>
            <w:shd w:val="clear" w:color="auto" w:fill="auto"/>
            <w:hideMark/>
          </w:tcPr>
          <w:p w14:paraId="69AC0D9D" w14:textId="77777777" w:rsidR="00DF1CA4" w:rsidRPr="00B923D6" w:rsidRDefault="00DF1CA4" w:rsidP="00ED1787">
            <w:pPr>
              <w:pStyle w:val="TAL"/>
              <w:rPr>
                <w:rFonts w:eastAsia="Calibri"/>
              </w:rPr>
            </w:pPr>
            <w:r w:rsidRPr="00B923D6">
              <w:rPr>
                <w:rFonts w:eastAsia="Calibri"/>
              </w:rPr>
              <w:t>- Large delays</w:t>
            </w:r>
          </w:p>
        </w:tc>
        <w:tc>
          <w:tcPr>
            <w:tcW w:w="1696" w:type="dxa"/>
            <w:tcBorders>
              <w:top w:val="single" w:sz="4" w:space="0" w:color="auto"/>
              <w:left w:val="single" w:sz="4" w:space="0" w:color="auto"/>
              <w:bottom w:val="single" w:sz="4" w:space="0" w:color="auto"/>
              <w:right w:val="single" w:sz="4" w:space="0" w:color="auto"/>
            </w:tcBorders>
            <w:shd w:val="clear" w:color="auto" w:fill="auto"/>
            <w:hideMark/>
          </w:tcPr>
          <w:p w14:paraId="08933022" w14:textId="77777777" w:rsidR="00DF1CA4" w:rsidRPr="00B923D6" w:rsidRDefault="00DF1CA4" w:rsidP="00ED1787">
            <w:pPr>
              <w:pStyle w:val="TAL"/>
              <w:rPr>
                <w:rFonts w:eastAsia="Calibri"/>
              </w:rPr>
            </w:pPr>
            <w:r w:rsidRPr="00B923D6">
              <w:rPr>
                <w:rFonts w:eastAsia="Calibri"/>
              </w:rPr>
              <w:t>At least 2 RTTs of delay</w:t>
            </w:r>
          </w:p>
        </w:tc>
      </w:tr>
      <w:tr w:rsidR="00DF1CA4" w:rsidRPr="00B923D6" w14:paraId="582D0AF1" w14:textId="77777777" w:rsidTr="00ED1787">
        <w:trPr>
          <w:jc w:val="center"/>
        </w:trPr>
        <w:tc>
          <w:tcPr>
            <w:tcW w:w="1817" w:type="dxa"/>
            <w:tcBorders>
              <w:top w:val="single" w:sz="4" w:space="0" w:color="auto"/>
              <w:left w:val="single" w:sz="4" w:space="0" w:color="auto"/>
              <w:bottom w:val="single" w:sz="4" w:space="0" w:color="auto"/>
              <w:right w:val="single" w:sz="4" w:space="0" w:color="auto"/>
            </w:tcBorders>
            <w:shd w:val="clear" w:color="auto" w:fill="auto"/>
            <w:vAlign w:val="center"/>
          </w:tcPr>
          <w:p w14:paraId="493F1747" w14:textId="77777777" w:rsidR="00DF1CA4" w:rsidRPr="00B923D6" w:rsidRDefault="00DF1CA4" w:rsidP="00ED1787">
            <w:pPr>
              <w:pStyle w:val="TAL"/>
              <w:rPr>
                <w:rFonts w:eastAsia="Calibri"/>
              </w:rPr>
            </w:pPr>
            <w:r w:rsidRPr="00B923D6">
              <w:rPr>
                <w:rFonts w:eastAsia="Calibri"/>
              </w:rPr>
              <w:t>Sending large grant in response to SR</w:t>
            </w:r>
          </w:p>
        </w:tc>
        <w:tc>
          <w:tcPr>
            <w:tcW w:w="2754" w:type="dxa"/>
            <w:tcBorders>
              <w:top w:val="single" w:sz="4" w:space="0" w:color="auto"/>
              <w:left w:val="single" w:sz="4" w:space="0" w:color="auto"/>
              <w:bottom w:val="single" w:sz="4" w:space="0" w:color="auto"/>
              <w:right w:val="single" w:sz="4" w:space="0" w:color="auto"/>
            </w:tcBorders>
            <w:shd w:val="clear" w:color="auto" w:fill="auto"/>
          </w:tcPr>
          <w:p w14:paraId="146CC933" w14:textId="77777777" w:rsidR="00DF1CA4" w:rsidRPr="00B923D6" w:rsidRDefault="00DF1CA4" w:rsidP="00ED1787">
            <w:pPr>
              <w:pStyle w:val="TAL"/>
              <w:rPr>
                <w:rFonts w:eastAsia="Calibri"/>
              </w:rPr>
            </w:pPr>
            <w:r w:rsidRPr="00B923D6">
              <w:rPr>
                <w:rFonts w:eastAsia="Calibri"/>
              </w:rPr>
              <w:t>- Potentially low resource overhead</w:t>
            </w:r>
          </w:p>
        </w:tc>
        <w:tc>
          <w:tcPr>
            <w:tcW w:w="3362" w:type="dxa"/>
            <w:tcBorders>
              <w:top w:val="single" w:sz="4" w:space="0" w:color="auto"/>
              <w:left w:val="single" w:sz="4" w:space="0" w:color="auto"/>
              <w:bottom w:val="single" w:sz="4" w:space="0" w:color="auto"/>
              <w:right w:val="single" w:sz="4" w:space="0" w:color="auto"/>
            </w:tcBorders>
            <w:shd w:val="clear" w:color="auto" w:fill="auto"/>
          </w:tcPr>
          <w:p w14:paraId="2C6F6B2B" w14:textId="77777777" w:rsidR="00DF1CA4" w:rsidRPr="00B923D6" w:rsidRDefault="00DF1CA4" w:rsidP="00ED1787">
            <w:pPr>
              <w:pStyle w:val="TAL"/>
              <w:rPr>
                <w:rFonts w:eastAsia="Calibri"/>
              </w:rPr>
            </w:pPr>
            <w:r w:rsidRPr="00B923D6">
              <w:rPr>
                <w:rFonts w:eastAsia="Calibri"/>
              </w:rPr>
              <w:t>- Still takes 2 RTTs before UE has the BSR</w:t>
            </w:r>
          </w:p>
          <w:p w14:paraId="496F0898" w14:textId="77777777" w:rsidR="00DF1CA4" w:rsidRPr="00B923D6" w:rsidRDefault="00DF1CA4" w:rsidP="00ED1787">
            <w:pPr>
              <w:pStyle w:val="TAL"/>
              <w:rPr>
                <w:rFonts w:eastAsia="Calibri"/>
              </w:rPr>
            </w:pPr>
            <w:r w:rsidRPr="00B923D6">
              <w:rPr>
                <w:rFonts w:eastAsia="Calibri"/>
              </w:rPr>
              <w:t>- Might be a waste in terms of resources since network is still not aware of the buffer situation of the UE</w:t>
            </w:r>
          </w:p>
        </w:tc>
        <w:tc>
          <w:tcPr>
            <w:tcW w:w="1696" w:type="dxa"/>
            <w:tcBorders>
              <w:top w:val="single" w:sz="4" w:space="0" w:color="auto"/>
              <w:left w:val="single" w:sz="4" w:space="0" w:color="auto"/>
              <w:bottom w:val="single" w:sz="4" w:space="0" w:color="auto"/>
              <w:right w:val="single" w:sz="4" w:space="0" w:color="auto"/>
            </w:tcBorders>
            <w:shd w:val="clear" w:color="auto" w:fill="auto"/>
          </w:tcPr>
          <w:p w14:paraId="43A97CFF" w14:textId="77777777" w:rsidR="00DF1CA4" w:rsidRPr="00B923D6" w:rsidRDefault="00DF1CA4" w:rsidP="00ED1787">
            <w:pPr>
              <w:pStyle w:val="TAL"/>
              <w:rPr>
                <w:rFonts w:eastAsia="Calibri"/>
              </w:rPr>
            </w:pPr>
            <w:r w:rsidRPr="00B923D6">
              <w:rPr>
                <w:rFonts w:eastAsia="Calibri"/>
              </w:rPr>
              <w:t>1 – 2 RTTs</w:t>
            </w:r>
          </w:p>
        </w:tc>
      </w:tr>
      <w:tr w:rsidR="00DF1CA4" w:rsidRPr="00B923D6" w14:paraId="71CB2BF6" w14:textId="77777777" w:rsidTr="00ED1787">
        <w:trPr>
          <w:jc w:val="center"/>
        </w:trPr>
        <w:tc>
          <w:tcPr>
            <w:tcW w:w="1817" w:type="dxa"/>
            <w:tcBorders>
              <w:top w:val="single" w:sz="4" w:space="0" w:color="auto"/>
              <w:left w:val="single" w:sz="4" w:space="0" w:color="auto"/>
              <w:bottom w:val="single" w:sz="4" w:space="0" w:color="auto"/>
              <w:right w:val="single" w:sz="4" w:space="0" w:color="auto"/>
            </w:tcBorders>
            <w:shd w:val="clear" w:color="auto" w:fill="auto"/>
            <w:hideMark/>
          </w:tcPr>
          <w:p w14:paraId="5309A441" w14:textId="77777777" w:rsidR="00DF1CA4" w:rsidRPr="00540487" w:rsidRDefault="00DF1CA4" w:rsidP="00ED1787">
            <w:pPr>
              <w:pStyle w:val="TAL"/>
              <w:rPr>
                <w:rFonts w:eastAsia="Calibri"/>
              </w:rPr>
            </w:pPr>
            <w:r w:rsidRPr="00540487">
              <w:rPr>
                <w:rFonts w:eastAsia="Calibri"/>
              </w:rPr>
              <w:t>Configured grant</w:t>
            </w:r>
          </w:p>
        </w:tc>
        <w:tc>
          <w:tcPr>
            <w:tcW w:w="2754" w:type="dxa"/>
            <w:tcBorders>
              <w:top w:val="single" w:sz="4" w:space="0" w:color="auto"/>
              <w:left w:val="single" w:sz="4" w:space="0" w:color="auto"/>
              <w:bottom w:val="single" w:sz="4" w:space="0" w:color="auto"/>
              <w:right w:val="single" w:sz="4" w:space="0" w:color="auto"/>
            </w:tcBorders>
            <w:shd w:val="clear" w:color="auto" w:fill="auto"/>
            <w:hideMark/>
          </w:tcPr>
          <w:p w14:paraId="33EF3040" w14:textId="77777777" w:rsidR="00DF1CA4" w:rsidRPr="00540487" w:rsidRDefault="00DF1CA4" w:rsidP="00ED1787">
            <w:pPr>
              <w:pStyle w:val="TAL"/>
              <w:rPr>
                <w:rFonts w:eastAsia="Calibri"/>
              </w:rPr>
            </w:pPr>
            <w:r w:rsidRPr="00540487">
              <w:rPr>
                <w:rFonts w:eastAsia="Calibri"/>
              </w:rPr>
              <w:t>- Low latency with right configuration</w:t>
            </w:r>
          </w:p>
        </w:tc>
        <w:tc>
          <w:tcPr>
            <w:tcW w:w="3362" w:type="dxa"/>
            <w:tcBorders>
              <w:top w:val="single" w:sz="4" w:space="0" w:color="auto"/>
              <w:left w:val="single" w:sz="4" w:space="0" w:color="auto"/>
              <w:bottom w:val="single" w:sz="4" w:space="0" w:color="auto"/>
              <w:right w:val="single" w:sz="4" w:space="0" w:color="auto"/>
            </w:tcBorders>
            <w:shd w:val="clear" w:color="auto" w:fill="auto"/>
            <w:hideMark/>
          </w:tcPr>
          <w:p w14:paraId="7A1ACA88" w14:textId="77777777" w:rsidR="00DF1CA4" w:rsidRPr="00540487" w:rsidRDefault="00DF1CA4" w:rsidP="00ED1787">
            <w:pPr>
              <w:pStyle w:val="TAL"/>
              <w:rPr>
                <w:rFonts w:eastAsia="Calibri"/>
              </w:rPr>
            </w:pPr>
            <w:r w:rsidRPr="00540487">
              <w:rPr>
                <w:rFonts w:eastAsia="Calibri"/>
              </w:rPr>
              <w:t>- Large overhead</w:t>
            </w:r>
          </w:p>
          <w:p w14:paraId="70D8C7F4" w14:textId="77777777" w:rsidR="00DF1CA4" w:rsidRPr="00540487" w:rsidRDefault="00DF1CA4" w:rsidP="00ED1787">
            <w:pPr>
              <w:pStyle w:val="TAL"/>
              <w:rPr>
                <w:rFonts w:eastAsia="Calibri"/>
              </w:rPr>
            </w:pPr>
            <w:r w:rsidRPr="00540487">
              <w:rPr>
                <w:rFonts w:eastAsia="Calibri"/>
              </w:rPr>
              <w:t>- Trade-off between latency and overhead</w:t>
            </w:r>
          </w:p>
        </w:tc>
        <w:tc>
          <w:tcPr>
            <w:tcW w:w="1696" w:type="dxa"/>
            <w:tcBorders>
              <w:top w:val="single" w:sz="4" w:space="0" w:color="auto"/>
              <w:left w:val="single" w:sz="4" w:space="0" w:color="auto"/>
              <w:bottom w:val="single" w:sz="4" w:space="0" w:color="auto"/>
              <w:right w:val="single" w:sz="4" w:space="0" w:color="auto"/>
            </w:tcBorders>
            <w:shd w:val="clear" w:color="auto" w:fill="auto"/>
            <w:hideMark/>
          </w:tcPr>
          <w:p w14:paraId="477BC1EB" w14:textId="77777777" w:rsidR="00DF1CA4" w:rsidRPr="00540487" w:rsidRDefault="00DF1CA4" w:rsidP="00ED1787">
            <w:pPr>
              <w:pStyle w:val="TAL"/>
              <w:rPr>
                <w:rFonts w:eastAsia="Calibri"/>
              </w:rPr>
            </w:pPr>
            <w:r w:rsidRPr="00540487">
              <w:rPr>
                <w:rFonts w:eastAsia="Calibri"/>
              </w:rPr>
              <w:t>0 – 1 RTT**</w:t>
            </w:r>
          </w:p>
        </w:tc>
      </w:tr>
      <w:tr w:rsidR="00DF1CA4" w:rsidRPr="00B923D6" w14:paraId="7BD5E6E2" w14:textId="77777777" w:rsidTr="00ED1787">
        <w:trPr>
          <w:jc w:val="center"/>
        </w:trPr>
        <w:tc>
          <w:tcPr>
            <w:tcW w:w="1817" w:type="dxa"/>
            <w:tcBorders>
              <w:top w:val="single" w:sz="4" w:space="0" w:color="auto"/>
              <w:left w:val="single" w:sz="4" w:space="0" w:color="auto"/>
              <w:bottom w:val="single" w:sz="4" w:space="0" w:color="auto"/>
              <w:right w:val="single" w:sz="4" w:space="0" w:color="auto"/>
            </w:tcBorders>
            <w:shd w:val="clear" w:color="auto" w:fill="auto"/>
            <w:hideMark/>
          </w:tcPr>
          <w:p w14:paraId="1A62632C" w14:textId="77777777" w:rsidR="00DF1CA4" w:rsidRPr="00540487" w:rsidRDefault="00DF1CA4" w:rsidP="00ED1787">
            <w:pPr>
              <w:pStyle w:val="TAL"/>
              <w:rPr>
                <w:rFonts w:eastAsia="Calibri"/>
              </w:rPr>
            </w:pPr>
            <w:r w:rsidRPr="00540487">
              <w:rPr>
                <w:rFonts w:eastAsia="Calibri"/>
              </w:rPr>
              <w:t>BSR-indication in SR</w:t>
            </w:r>
          </w:p>
        </w:tc>
        <w:tc>
          <w:tcPr>
            <w:tcW w:w="2754" w:type="dxa"/>
            <w:tcBorders>
              <w:top w:val="single" w:sz="4" w:space="0" w:color="auto"/>
              <w:left w:val="single" w:sz="4" w:space="0" w:color="auto"/>
              <w:bottom w:val="single" w:sz="4" w:space="0" w:color="auto"/>
              <w:right w:val="single" w:sz="4" w:space="0" w:color="auto"/>
            </w:tcBorders>
            <w:shd w:val="clear" w:color="auto" w:fill="auto"/>
            <w:hideMark/>
          </w:tcPr>
          <w:p w14:paraId="4B834A8D" w14:textId="77777777" w:rsidR="00DF1CA4" w:rsidRPr="00540487" w:rsidRDefault="00DF1CA4" w:rsidP="00ED1787">
            <w:pPr>
              <w:pStyle w:val="TAL"/>
              <w:rPr>
                <w:rFonts w:eastAsia="Calibri"/>
              </w:rPr>
            </w:pPr>
            <w:r w:rsidRPr="00540487">
              <w:rPr>
                <w:rFonts w:eastAsia="Calibri"/>
              </w:rPr>
              <w:t>- Low latency with correct configuration</w:t>
            </w:r>
          </w:p>
        </w:tc>
        <w:tc>
          <w:tcPr>
            <w:tcW w:w="3362" w:type="dxa"/>
            <w:tcBorders>
              <w:top w:val="single" w:sz="4" w:space="0" w:color="auto"/>
              <w:left w:val="single" w:sz="4" w:space="0" w:color="auto"/>
              <w:bottom w:val="single" w:sz="4" w:space="0" w:color="auto"/>
              <w:right w:val="single" w:sz="4" w:space="0" w:color="auto"/>
            </w:tcBorders>
            <w:shd w:val="clear" w:color="auto" w:fill="auto"/>
            <w:hideMark/>
          </w:tcPr>
          <w:p w14:paraId="06CFEC93" w14:textId="77777777" w:rsidR="00DF1CA4" w:rsidRPr="001C482A" w:rsidRDefault="00DF1CA4" w:rsidP="00ED1787">
            <w:pPr>
              <w:pStyle w:val="TAL"/>
              <w:rPr>
                <w:rFonts w:eastAsia="Calibri"/>
              </w:rPr>
            </w:pPr>
            <w:r w:rsidRPr="001C482A">
              <w:rPr>
                <w:rFonts w:eastAsia="Calibri"/>
              </w:rPr>
              <w:t>- Large spec-impact</w:t>
            </w:r>
          </w:p>
          <w:p w14:paraId="71B385B6" w14:textId="77777777" w:rsidR="00DF1CA4" w:rsidRPr="00DF2C80" w:rsidRDefault="00DF1CA4" w:rsidP="00ED1787">
            <w:pPr>
              <w:pStyle w:val="TAL"/>
              <w:rPr>
                <w:rFonts w:eastAsia="Calibri"/>
              </w:rPr>
            </w:pPr>
            <w:r w:rsidRPr="00DF2C80">
              <w:rPr>
                <w:rFonts w:eastAsia="Calibri"/>
              </w:rPr>
              <w:t>- Resource overhead impact unclear, larger than SR</w:t>
            </w:r>
          </w:p>
        </w:tc>
        <w:tc>
          <w:tcPr>
            <w:tcW w:w="1696" w:type="dxa"/>
            <w:tcBorders>
              <w:top w:val="single" w:sz="4" w:space="0" w:color="auto"/>
              <w:left w:val="single" w:sz="4" w:space="0" w:color="auto"/>
              <w:bottom w:val="single" w:sz="4" w:space="0" w:color="auto"/>
              <w:right w:val="single" w:sz="4" w:space="0" w:color="auto"/>
            </w:tcBorders>
            <w:shd w:val="clear" w:color="auto" w:fill="auto"/>
            <w:hideMark/>
          </w:tcPr>
          <w:p w14:paraId="0F1D8DCF" w14:textId="77777777" w:rsidR="00DF1CA4" w:rsidRPr="00682C0E" w:rsidRDefault="00DF1CA4" w:rsidP="00ED1787">
            <w:pPr>
              <w:pStyle w:val="TAL"/>
              <w:rPr>
                <w:rFonts w:eastAsia="Calibri"/>
              </w:rPr>
            </w:pPr>
            <w:r w:rsidRPr="00682C0E">
              <w:rPr>
                <w:rFonts w:eastAsia="Calibri"/>
              </w:rPr>
              <w:t>1 RTT</w:t>
            </w:r>
          </w:p>
        </w:tc>
      </w:tr>
      <w:tr w:rsidR="00DF1CA4" w:rsidRPr="00B923D6" w14:paraId="548ACAA3" w14:textId="77777777" w:rsidTr="00ED1787">
        <w:trPr>
          <w:jc w:val="center"/>
        </w:trPr>
        <w:tc>
          <w:tcPr>
            <w:tcW w:w="1817" w:type="dxa"/>
            <w:tcBorders>
              <w:top w:val="single" w:sz="4" w:space="0" w:color="auto"/>
              <w:left w:val="single" w:sz="4" w:space="0" w:color="auto"/>
              <w:bottom w:val="single" w:sz="4" w:space="0" w:color="auto"/>
              <w:right w:val="single" w:sz="4" w:space="0" w:color="auto"/>
            </w:tcBorders>
            <w:shd w:val="clear" w:color="auto" w:fill="auto"/>
            <w:hideMark/>
          </w:tcPr>
          <w:p w14:paraId="58075E24" w14:textId="77777777" w:rsidR="00DF1CA4" w:rsidRPr="00540487" w:rsidRDefault="00DF1CA4" w:rsidP="00ED1787">
            <w:pPr>
              <w:pStyle w:val="TAL"/>
              <w:rPr>
                <w:rFonts w:eastAsia="Calibri"/>
              </w:rPr>
            </w:pPr>
            <w:r w:rsidRPr="00540487">
              <w:rPr>
                <w:rFonts w:eastAsia="Calibri"/>
              </w:rPr>
              <w:t>BSR over 2-step random access</w:t>
            </w:r>
          </w:p>
        </w:tc>
        <w:tc>
          <w:tcPr>
            <w:tcW w:w="2754" w:type="dxa"/>
            <w:tcBorders>
              <w:top w:val="single" w:sz="4" w:space="0" w:color="auto"/>
              <w:left w:val="single" w:sz="4" w:space="0" w:color="auto"/>
              <w:bottom w:val="single" w:sz="4" w:space="0" w:color="auto"/>
              <w:right w:val="single" w:sz="4" w:space="0" w:color="auto"/>
            </w:tcBorders>
            <w:shd w:val="clear" w:color="auto" w:fill="auto"/>
            <w:hideMark/>
          </w:tcPr>
          <w:p w14:paraId="2DB3769A" w14:textId="77777777" w:rsidR="00DF1CA4" w:rsidRPr="00540487" w:rsidRDefault="00DF1CA4" w:rsidP="00ED1787">
            <w:pPr>
              <w:pStyle w:val="TAL"/>
              <w:rPr>
                <w:rFonts w:eastAsia="Calibri"/>
              </w:rPr>
            </w:pPr>
            <w:r w:rsidRPr="00540487">
              <w:rPr>
                <w:rFonts w:eastAsia="Calibri"/>
              </w:rPr>
              <w:t>- Low latency</w:t>
            </w:r>
          </w:p>
          <w:p w14:paraId="58D9BE85" w14:textId="77777777" w:rsidR="00DF1CA4" w:rsidRPr="00540487" w:rsidRDefault="00DF1CA4" w:rsidP="00ED1787">
            <w:pPr>
              <w:pStyle w:val="TAL"/>
              <w:rPr>
                <w:rFonts w:eastAsia="Calibri"/>
              </w:rPr>
            </w:pPr>
            <w:r w:rsidRPr="00540487">
              <w:rPr>
                <w:rFonts w:eastAsia="Calibri"/>
              </w:rPr>
              <w:t>- Low overhead</w:t>
            </w:r>
          </w:p>
        </w:tc>
        <w:tc>
          <w:tcPr>
            <w:tcW w:w="3362" w:type="dxa"/>
            <w:tcBorders>
              <w:top w:val="single" w:sz="4" w:space="0" w:color="auto"/>
              <w:left w:val="single" w:sz="4" w:space="0" w:color="auto"/>
              <w:bottom w:val="single" w:sz="4" w:space="0" w:color="auto"/>
              <w:right w:val="single" w:sz="4" w:space="0" w:color="auto"/>
            </w:tcBorders>
            <w:shd w:val="clear" w:color="auto" w:fill="auto"/>
            <w:hideMark/>
          </w:tcPr>
          <w:p w14:paraId="346EE695" w14:textId="77777777" w:rsidR="00DF1CA4" w:rsidRPr="00540487" w:rsidRDefault="00DF1CA4" w:rsidP="00ED1787">
            <w:pPr>
              <w:pStyle w:val="TAL"/>
              <w:rPr>
                <w:rFonts w:eastAsia="Calibri"/>
              </w:rPr>
            </w:pPr>
            <w:r w:rsidRPr="00540487">
              <w:rPr>
                <w:rFonts w:eastAsia="Calibri"/>
              </w:rPr>
              <w:t>- RACH resources required</w:t>
            </w:r>
          </w:p>
        </w:tc>
        <w:tc>
          <w:tcPr>
            <w:tcW w:w="1696" w:type="dxa"/>
            <w:tcBorders>
              <w:top w:val="single" w:sz="4" w:space="0" w:color="auto"/>
              <w:left w:val="single" w:sz="4" w:space="0" w:color="auto"/>
              <w:bottom w:val="single" w:sz="4" w:space="0" w:color="auto"/>
              <w:right w:val="single" w:sz="4" w:space="0" w:color="auto"/>
            </w:tcBorders>
            <w:shd w:val="clear" w:color="auto" w:fill="auto"/>
            <w:hideMark/>
          </w:tcPr>
          <w:p w14:paraId="1D90BC0C" w14:textId="77777777" w:rsidR="00DF1CA4" w:rsidRPr="00540487" w:rsidRDefault="00DF1CA4" w:rsidP="00ED1787">
            <w:pPr>
              <w:pStyle w:val="TAL"/>
              <w:rPr>
                <w:rFonts w:eastAsia="Calibri"/>
              </w:rPr>
            </w:pPr>
            <w:r w:rsidRPr="00540487">
              <w:rPr>
                <w:rFonts w:eastAsia="Calibri"/>
              </w:rPr>
              <w:t>0 – 1 RTT**</w:t>
            </w:r>
          </w:p>
        </w:tc>
      </w:tr>
      <w:tr w:rsidR="00DF1CA4" w:rsidRPr="00B923D6" w14:paraId="40BF639C" w14:textId="77777777" w:rsidTr="00ED1787">
        <w:trPr>
          <w:jc w:val="center"/>
        </w:trPr>
        <w:tc>
          <w:tcPr>
            <w:tcW w:w="9629" w:type="dxa"/>
            <w:gridSpan w:val="4"/>
            <w:tcBorders>
              <w:top w:val="single" w:sz="4" w:space="0" w:color="auto"/>
              <w:left w:val="single" w:sz="4" w:space="0" w:color="auto"/>
              <w:bottom w:val="single" w:sz="4" w:space="0" w:color="auto"/>
              <w:right w:val="single" w:sz="4" w:space="0" w:color="auto"/>
            </w:tcBorders>
            <w:shd w:val="clear" w:color="auto" w:fill="auto"/>
            <w:hideMark/>
          </w:tcPr>
          <w:p w14:paraId="6B8CA47B" w14:textId="77777777" w:rsidR="00DF1CA4" w:rsidRPr="00B923D6" w:rsidRDefault="00DF1CA4" w:rsidP="00ED1787">
            <w:pPr>
              <w:pStyle w:val="TAL"/>
              <w:rPr>
                <w:rFonts w:eastAsia="Calibri"/>
              </w:rPr>
            </w:pPr>
            <w:r w:rsidRPr="00B923D6">
              <w:rPr>
                <w:rFonts w:eastAsia="Calibri"/>
              </w:rPr>
              <w:t>* the number of RTTs before full scheduling based on BSR can begin.</w:t>
            </w:r>
          </w:p>
          <w:p w14:paraId="0D8EF7A6" w14:textId="77777777" w:rsidR="00DF1CA4" w:rsidRPr="00B923D6" w:rsidRDefault="00DF1CA4" w:rsidP="00ED1787">
            <w:pPr>
              <w:pStyle w:val="TAL"/>
              <w:rPr>
                <w:rFonts w:eastAsia="Calibri"/>
              </w:rPr>
            </w:pPr>
            <w:r w:rsidRPr="00B923D6">
              <w:rPr>
                <w:rFonts w:eastAsia="Calibri"/>
              </w:rPr>
              <w:t>** if configured grant/2-step allocation is large enough and data can be transmitted in the grant.</w:t>
            </w:r>
          </w:p>
        </w:tc>
      </w:tr>
    </w:tbl>
    <w:p w14:paraId="095D3C61" w14:textId="77777777" w:rsidR="00DF1CA4" w:rsidRDefault="00DF1CA4" w:rsidP="00DF1CA4">
      <w:r>
        <w:t xml:space="preserve">For IoT over NTN, latency is not the critical performance requirement, so options that target for latency reduction are </w:t>
      </w:r>
      <w:r w:rsidRPr="00540487">
        <w:t xml:space="preserve">not </w:t>
      </w:r>
      <w:r>
        <w:t>very necessary</w:t>
      </w:r>
      <w:r w:rsidRPr="00540487">
        <w:t xml:space="preserve">. (e.g. Configured grant, BSR-indication in SR as well as BSR over 2-step random access). </w:t>
      </w:r>
      <w:r>
        <w:t>To minimise the impact of the specification, it seems reasonable to take the legacy SR-BSR procedure as the baseline.</w:t>
      </w:r>
    </w:p>
    <w:p w14:paraId="58E20D82" w14:textId="517F3E44" w:rsidR="00DF1CA4" w:rsidRPr="007423ED" w:rsidRDefault="00DF1CA4" w:rsidP="00DF1CA4">
      <w:pPr>
        <w:rPr>
          <w:rFonts w:eastAsia="Calibri"/>
          <w:b/>
          <w:bCs/>
        </w:rPr>
      </w:pPr>
      <w:r w:rsidRPr="007423ED">
        <w:rPr>
          <w:b/>
          <w:bCs/>
        </w:rPr>
        <w:lastRenderedPageBreak/>
        <w:t xml:space="preserve">Proposal </w:t>
      </w:r>
      <w:r w:rsidR="00415BBC">
        <w:rPr>
          <w:rFonts w:hint="eastAsia"/>
          <w:b/>
          <w:bCs/>
          <w:lang w:eastAsia="zh-CN"/>
        </w:rPr>
        <w:t>1</w:t>
      </w:r>
      <w:r w:rsidR="002633A2">
        <w:rPr>
          <w:b/>
          <w:bCs/>
          <w:lang w:eastAsia="zh-CN"/>
        </w:rPr>
        <w:t>8</w:t>
      </w:r>
      <w:r w:rsidRPr="007423ED">
        <w:rPr>
          <w:b/>
          <w:bCs/>
        </w:rPr>
        <w:t xml:space="preserve">: </w:t>
      </w:r>
      <w:r>
        <w:rPr>
          <w:rFonts w:hint="eastAsia"/>
          <w:b/>
          <w:bCs/>
          <w:lang w:eastAsia="zh-CN"/>
        </w:rPr>
        <w:t>The</w:t>
      </w:r>
      <w:r>
        <w:rPr>
          <w:b/>
          <w:bCs/>
        </w:rPr>
        <w:t xml:space="preserve"> </w:t>
      </w:r>
      <w:r w:rsidRPr="007423ED">
        <w:rPr>
          <w:b/>
          <w:bCs/>
        </w:rPr>
        <w:t xml:space="preserve">UL scheduling enhancements </w:t>
      </w:r>
      <w:r>
        <w:rPr>
          <w:b/>
          <w:bCs/>
        </w:rPr>
        <w:t>for d</w:t>
      </w:r>
      <w:r w:rsidRPr="007423ED">
        <w:rPr>
          <w:b/>
          <w:bCs/>
        </w:rPr>
        <w:t xml:space="preserve">elay </w:t>
      </w:r>
      <w:r>
        <w:rPr>
          <w:b/>
          <w:bCs/>
        </w:rPr>
        <w:t>reduction are</w:t>
      </w:r>
      <w:r w:rsidRPr="007423ED">
        <w:rPr>
          <w:b/>
          <w:bCs/>
        </w:rPr>
        <w:t xml:space="preserve"> not </w:t>
      </w:r>
      <w:r>
        <w:rPr>
          <w:b/>
          <w:bCs/>
        </w:rPr>
        <w:t>necessary</w:t>
      </w:r>
      <w:r w:rsidRPr="007423ED">
        <w:rPr>
          <w:b/>
          <w:bCs/>
        </w:rPr>
        <w:t xml:space="preserve"> </w:t>
      </w:r>
      <w:r>
        <w:rPr>
          <w:b/>
          <w:bCs/>
        </w:rPr>
        <w:t>for</w:t>
      </w:r>
      <w:r w:rsidRPr="007423ED">
        <w:rPr>
          <w:b/>
          <w:bCs/>
        </w:rPr>
        <w:t xml:space="preserve"> IoT over NTN</w:t>
      </w:r>
      <w:r>
        <w:rPr>
          <w:b/>
          <w:bCs/>
        </w:rPr>
        <w:t>.</w:t>
      </w:r>
    </w:p>
    <w:p w14:paraId="7EDE6EB5" w14:textId="77777777" w:rsidR="00A04D08" w:rsidRDefault="00A04D08" w:rsidP="00DF1CA4"/>
    <w:p w14:paraId="2A1939E6" w14:textId="5D9889CB" w:rsidR="00200D2F" w:rsidRDefault="00021FD5" w:rsidP="004802D3">
      <w:pPr>
        <w:pStyle w:val="Heading2"/>
      </w:pPr>
      <w:r w:rsidRPr="00021FD5">
        <w:rPr>
          <w:lang w:eastAsia="zh-CN"/>
        </w:rPr>
        <w:t>3</w:t>
      </w:r>
      <w:r w:rsidR="00491751" w:rsidRPr="00021FD5">
        <w:rPr>
          <w:lang w:eastAsia="zh-CN"/>
        </w:rPr>
        <w:t>.</w:t>
      </w:r>
      <w:r w:rsidR="006359AD">
        <w:rPr>
          <w:lang w:eastAsia="zh-CN"/>
        </w:rPr>
        <w:t>8</w:t>
      </w:r>
      <w:r w:rsidRPr="006E13D1">
        <w:tab/>
      </w:r>
      <w:r w:rsidR="00386988">
        <w:t>C</w:t>
      </w:r>
      <w:r w:rsidR="00200D2F">
        <w:t xml:space="preserve">onnected mode </w:t>
      </w:r>
      <w:r w:rsidR="006359AD">
        <w:t>Aspects: M</w:t>
      </w:r>
      <w:r w:rsidR="00200D2F">
        <w:t xml:space="preserve">obility </w:t>
      </w:r>
    </w:p>
    <w:p w14:paraId="3767B9B7" w14:textId="77777777" w:rsidR="00C1759F" w:rsidRDefault="00C1759F" w:rsidP="00C1759F">
      <w:r w:rsidRPr="00775E23">
        <w:t xml:space="preserve">In the current specification, NB-IoT does not support functionalities such as handover. Generally, it is assumed that the UE can </w:t>
      </w:r>
      <w:r>
        <w:t>complete</w:t>
      </w:r>
      <w:r w:rsidRPr="00775E23">
        <w:t xml:space="preserve"> its data</w:t>
      </w:r>
      <w:r>
        <w:t xml:space="preserve"> transmission</w:t>
      </w:r>
      <w:r w:rsidRPr="00775E23">
        <w:t xml:space="preserve"> while being served from one cell because UE is almost stationary, therefore, a handover procedure during RRC_CONNECTED is not needed. In IoT over NTN, </w:t>
      </w:r>
      <w:r>
        <w:rPr>
          <w:rFonts w:hint="eastAsia"/>
          <w:lang w:eastAsia="zh-CN"/>
        </w:rPr>
        <w:t>e.g.</w:t>
      </w:r>
      <w:r>
        <w:t xml:space="preserve"> </w:t>
      </w:r>
      <w:r w:rsidRPr="00775E23">
        <w:t xml:space="preserve">the LEO satellite is moving, which means the serving time of one satellite is limited. With the assumption that LEO satellites move at rather high speed (7.5 km/s), a cell </w:t>
      </w:r>
      <w:r>
        <w:t>diameter</w:t>
      </w:r>
      <w:r w:rsidRPr="00775E23">
        <w:t xml:space="preserve"> of 100 km will lead to cell reselections every 13 seconds or more often (38.821 section 7.3.2.1.4). However, the NB-IoT UL transmission time will reach 40.96 seconds (e.g. NPUSCH format 1, 128 repetitions, 10 resource units, 1 subcarrier allocated with 3.75KHz SCS), which may result in cell/satellite change during UE's data transmission. If such a cell/satellite change would be required, the UE has to go to the RRC_IDLE state </w:t>
      </w:r>
      <w:r>
        <w:t xml:space="preserve">first </w:t>
      </w:r>
      <w:r w:rsidRPr="00775E23">
        <w:t xml:space="preserve">and re-select </w:t>
      </w:r>
      <w:r>
        <w:t xml:space="preserve">to </w:t>
      </w:r>
      <w:r w:rsidRPr="00775E23">
        <w:t>another cell</w:t>
      </w:r>
      <w:r>
        <w:t xml:space="preserve">, which </w:t>
      </w:r>
      <w:r>
        <w:rPr>
          <w:rFonts w:hint="eastAsia"/>
          <w:lang w:eastAsia="zh-CN"/>
        </w:rPr>
        <w:t>may</w:t>
      </w:r>
      <w:r>
        <w:t xml:space="preserve"> interrupt the data transmission.</w:t>
      </w:r>
    </w:p>
    <w:p w14:paraId="214C66F1" w14:textId="16686C32" w:rsidR="00C1759F" w:rsidRPr="007423ED" w:rsidRDefault="00C1759F" w:rsidP="00C1759F">
      <w:pPr>
        <w:rPr>
          <w:rFonts w:eastAsia="Calibri"/>
          <w:b/>
          <w:bCs/>
        </w:rPr>
      </w:pPr>
      <w:r w:rsidRPr="007423ED">
        <w:rPr>
          <w:b/>
          <w:bCs/>
        </w:rPr>
        <w:t xml:space="preserve">Proposal </w:t>
      </w:r>
      <w:r w:rsidR="00CA2678">
        <w:rPr>
          <w:b/>
          <w:bCs/>
          <w:lang w:eastAsia="zh-CN"/>
        </w:rPr>
        <w:t>19</w:t>
      </w:r>
      <w:r w:rsidRPr="007423ED">
        <w:rPr>
          <w:b/>
          <w:bCs/>
        </w:rPr>
        <w:t xml:space="preserve">: </w:t>
      </w:r>
      <w:r>
        <w:rPr>
          <w:b/>
          <w:bCs/>
        </w:rPr>
        <w:t>RAN2 to study possible data transmission interruptions due to cell changes caused by satellite movements.</w:t>
      </w:r>
    </w:p>
    <w:p w14:paraId="5FF2457F" w14:textId="30721888" w:rsidR="00A209D6" w:rsidRPr="006E13D1" w:rsidRDefault="000F070D" w:rsidP="00A209D6">
      <w:pPr>
        <w:pStyle w:val="Heading1"/>
      </w:pPr>
      <w:r>
        <w:t>4</w:t>
      </w:r>
      <w:r w:rsidR="00A209D6" w:rsidRPr="006E13D1">
        <w:tab/>
      </w:r>
      <w:r w:rsidR="008C3057">
        <w:t>Conclusion</w:t>
      </w:r>
    </w:p>
    <w:p w14:paraId="3D50903E" w14:textId="652F20EF" w:rsidR="00E31AAB" w:rsidRPr="006E13D1" w:rsidRDefault="00E31AAB" w:rsidP="00E31AAB">
      <w:r w:rsidRPr="008963FB">
        <w:t>Based on the discussion, the following</w:t>
      </w:r>
      <w:bookmarkStart w:id="0" w:name="_GoBack"/>
      <w:bookmarkEnd w:id="0"/>
      <w:r w:rsidRPr="008963FB">
        <w:t xml:space="preserve"> proposals have been made. </w:t>
      </w:r>
    </w:p>
    <w:p w14:paraId="43AA8399" w14:textId="77777777" w:rsidR="002633A2" w:rsidRDefault="002633A2" w:rsidP="002633A2">
      <w:pPr>
        <w:rPr>
          <w:b/>
          <w:bCs/>
        </w:rPr>
      </w:pPr>
      <w:r w:rsidRPr="00D97B7C">
        <w:rPr>
          <w:b/>
          <w:bCs/>
        </w:rPr>
        <w:t>Proposal 1:</w:t>
      </w:r>
      <w:r>
        <w:rPr>
          <w:b/>
          <w:bCs/>
        </w:rPr>
        <w:t xml:space="preserve"> </w:t>
      </w:r>
      <w:r w:rsidRPr="00D97B7C">
        <w:rPr>
          <w:b/>
          <w:bCs/>
        </w:rPr>
        <w:t>IoT-NTN study should include the impact analysis and applicability of existing IoT features for NTN.</w:t>
      </w:r>
    </w:p>
    <w:p w14:paraId="7F874F82" w14:textId="77777777" w:rsidR="002633A2" w:rsidRDefault="002633A2" w:rsidP="002633A2">
      <w:pPr>
        <w:rPr>
          <w:b/>
          <w:bCs/>
        </w:rPr>
      </w:pPr>
      <w:r>
        <w:rPr>
          <w:b/>
          <w:bCs/>
        </w:rPr>
        <w:t>Proposal 2: RAN2 to discuss and conclude on the base 3GPP Release of NB-IoT/eMTC for feature analysis for NTN applicability.</w:t>
      </w:r>
    </w:p>
    <w:p w14:paraId="050220A5" w14:textId="77777777" w:rsidR="002633A2" w:rsidRDefault="002633A2" w:rsidP="002633A2">
      <w:pPr>
        <w:rPr>
          <w:b/>
          <w:bCs/>
        </w:rPr>
      </w:pPr>
      <w:r>
        <w:rPr>
          <w:b/>
          <w:bCs/>
        </w:rPr>
        <w:t>Proposal 3: Features relevant for connectionless small data transmission should be considered as priority features for applicability for IoT over NTN</w:t>
      </w:r>
    </w:p>
    <w:p w14:paraId="3DAB1B81" w14:textId="77777777" w:rsidR="002633A2" w:rsidRPr="00415BBC" w:rsidRDefault="002633A2" w:rsidP="002633A2">
      <w:pPr>
        <w:rPr>
          <w:b/>
          <w:bCs/>
        </w:rPr>
      </w:pPr>
      <w:r w:rsidRPr="00415BBC">
        <w:rPr>
          <w:b/>
          <w:bCs/>
        </w:rPr>
        <w:t xml:space="preserve">Proposal 4: RAN2 to clarify, based on the assumption in SI description, whether NB-IoT and eMTC UE can estimate and pre-compensate timing offset during the interval of </w:t>
      </w:r>
      <w:r w:rsidRPr="00D97B7C">
        <w:rPr>
          <w:b/>
          <w:bCs/>
        </w:rPr>
        <w:t>PRACH</w:t>
      </w:r>
      <w:r w:rsidRPr="00415BBC">
        <w:rPr>
          <w:b/>
          <w:bCs/>
        </w:rPr>
        <w:t xml:space="preserve"> </w:t>
      </w:r>
      <w:r w:rsidRPr="00D97B7C">
        <w:rPr>
          <w:b/>
          <w:bCs/>
        </w:rPr>
        <w:t>repetitions</w:t>
      </w:r>
      <w:r w:rsidRPr="00415BBC">
        <w:rPr>
          <w:b/>
          <w:bCs/>
        </w:rPr>
        <w:t xml:space="preserve"> and PUSCH repetitions in LEO.</w:t>
      </w:r>
    </w:p>
    <w:p w14:paraId="684AFB3A" w14:textId="77777777" w:rsidR="002633A2" w:rsidRPr="00415BBC" w:rsidRDefault="002633A2" w:rsidP="002633A2">
      <w:pPr>
        <w:rPr>
          <w:b/>
          <w:bCs/>
        </w:rPr>
      </w:pPr>
      <w:r w:rsidRPr="00415BBC">
        <w:rPr>
          <w:b/>
          <w:bCs/>
        </w:rPr>
        <w:t xml:space="preserve">Proposal </w:t>
      </w:r>
      <w:r>
        <w:rPr>
          <w:b/>
          <w:bCs/>
        </w:rPr>
        <w:t>5</w:t>
      </w:r>
      <w:r w:rsidRPr="00415BBC">
        <w:rPr>
          <w:b/>
          <w:bCs/>
        </w:rPr>
        <w:t>: RAN2 to clarify</w:t>
      </w:r>
      <w:r>
        <w:rPr>
          <w:b/>
          <w:bCs/>
        </w:rPr>
        <w:t>, whether the case where GNSS and IoT channels have different coverage should be considered</w:t>
      </w:r>
      <w:r w:rsidRPr="00415BBC">
        <w:rPr>
          <w:b/>
          <w:bCs/>
        </w:rPr>
        <w:t>.</w:t>
      </w:r>
    </w:p>
    <w:p w14:paraId="1F94D855" w14:textId="77777777" w:rsidR="002633A2" w:rsidRDefault="002633A2" w:rsidP="002633A2">
      <w:pPr>
        <w:rPr>
          <w:b/>
          <w:bCs/>
        </w:rPr>
      </w:pPr>
      <w:r w:rsidRPr="00316136">
        <w:rPr>
          <w:b/>
          <w:bCs/>
        </w:rPr>
        <w:t xml:space="preserve">Proposal </w:t>
      </w:r>
      <w:r>
        <w:rPr>
          <w:b/>
          <w:bCs/>
        </w:rPr>
        <w:t>6</w:t>
      </w:r>
      <w:r w:rsidRPr="00316136">
        <w:rPr>
          <w:b/>
          <w:bCs/>
        </w:rPr>
        <w:t xml:space="preserve">: </w:t>
      </w:r>
      <w:r>
        <w:rPr>
          <w:b/>
          <w:bCs/>
        </w:rPr>
        <w:t>RAN2 agree to a</w:t>
      </w:r>
      <w:r w:rsidRPr="00316136">
        <w:rPr>
          <w:b/>
          <w:bCs/>
        </w:rPr>
        <w:t>pply an offset to start RA response window and mac-ContentionResolutionTimer for IoT over NTN,</w:t>
      </w:r>
      <w:r w:rsidRPr="000C4964">
        <w:rPr>
          <w:b/>
          <w:bCs/>
        </w:rPr>
        <w:t xml:space="preserve"> where how to decide the offset value is FFS.</w:t>
      </w:r>
    </w:p>
    <w:p w14:paraId="2C3BFCD0" w14:textId="77777777" w:rsidR="002633A2" w:rsidRPr="00D83414" w:rsidRDefault="002633A2" w:rsidP="002633A2">
      <w:pPr>
        <w:rPr>
          <w:b/>
          <w:bCs/>
        </w:rPr>
      </w:pPr>
      <w:r w:rsidRPr="00D83414">
        <w:rPr>
          <w:b/>
          <w:bCs/>
        </w:rPr>
        <w:t xml:space="preserve">Proposal </w:t>
      </w:r>
      <w:r>
        <w:rPr>
          <w:b/>
          <w:bCs/>
        </w:rPr>
        <w:t>7</w:t>
      </w:r>
      <w:r w:rsidRPr="00D83414">
        <w:rPr>
          <w:b/>
          <w:bCs/>
        </w:rPr>
        <w:t>: NR solution to support 2-Step RACH in NTN is not applied to NB-IoT/eMTC over NTN.</w:t>
      </w:r>
    </w:p>
    <w:p w14:paraId="145E796D" w14:textId="77777777" w:rsidR="002633A2" w:rsidRPr="00717E7F" w:rsidRDefault="002633A2" w:rsidP="002633A2">
      <w:pPr>
        <w:rPr>
          <w:b/>
          <w:bCs/>
          <w:lang w:eastAsia="zh-CN"/>
        </w:rPr>
      </w:pPr>
      <w:r w:rsidRPr="00717E7F">
        <w:rPr>
          <w:b/>
          <w:bCs/>
          <w:lang w:eastAsia="zh-CN"/>
        </w:rPr>
        <w:t xml:space="preserve">Proposal </w:t>
      </w:r>
      <w:r>
        <w:rPr>
          <w:b/>
          <w:bCs/>
          <w:lang w:eastAsia="zh-CN"/>
        </w:rPr>
        <w:t>8</w:t>
      </w:r>
      <w:r w:rsidRPr="00717E7F">
        <w:rPr>
          <w:b/>
          <w:bCs/>
          <w:lang w:eastAsia="zh-CN"/>
        </w:rPr>
        <w:t>: Support MO EDT and MT EDT for NB-IoT/eMTC over NTN should be considered to minimise UE’s power consumption.</w:t>
      </w:r>
    </w:p>
    <w:p w14:paraId="0765177A" w14:textId="77777777" w:rsidR="002633A2" w:rsidRPr="00D97B7C" w:rsidRDefault="002633A2" w:rsidP="002633A2">
      <w:pPr>
        <w:rPr>
          <w:b/>
          <w:bCs/>
        </w:rPr>
      </w:pPr>
      <w:r w:rsidRPr="00D97B7C">
        <w:rPr>
          <w:b/>
          <w:bCs/>
        </w:rPr>
        <w:t xml:space="preserve">Proposal </w:t>
      </w:r>
      <w:r>
        <w:rPr>
          <w:b/>
          <w:bCs/>
          <w:lang w:eastAsia="zh-CN"/>
        </w:rPr>
        <w:t>9</w:t>
      </w:r>
      <w:r w:rsidRPr="00D97B7C">
        <w:rPr>
          <w:b/>
          <w:bCs/>
        </w:rPr>
        <w:t>: IoT-NTN study should consider system information enhancements to minimise the impacts to stationary IoT devices.</w:t>
      </w:r>
    </w:p>
    <w:p w14:paraId="4C4264BB" w14:textId="77777777" w:rsidR="002633A2" w:rsidRPr="003364B1" w:rsidRDefault="002633A2" w:rsidP="002633A2">
      <w:pPr>
        <w:rPr>
          <w:b/>
          <w:bCs/>
        </w:rPr>
      </w:pPr>
      <w:r>
        <w:t xml:space="preserve"> </w:t>
      </w:r>
      <w:r w:rsidRPr="003364B1">
        <w:rPr>
          <w:b/>
          <w:bCs/>
        </w:rPr>
        <w:t xml:space="preserve">Proposal </w:t>
      </w:r>
      <w:r>
        <w:rPr>
          <w:b/>
          <w:bCs/>
          <w:lang w:eastAsia="zh-CN"/>
        </w:rPr>
        <w:t>10</w:t>
      </w:r>
      <w:r w:rsidRPr="003364B1">
        <w:rPr>
          <w:b/>
          <w:bCs/>
        </w:rPr>
        <w:t xml:space="preserve">: </w:t>
      </w:r>
      <w:r>
        <w:rPr>
          <w:b/>
          <w:bCs/>
        </w:rPr>
        <w:t>Tracking area enhancements of NR-NTN should be applicable for IoT-NTN with additional changes to minimise the UE impact for system information re-acquisition.</w:t>
      </w:r>
    </w:p>
    <w:p w14:paraId="2A1F49BA" w14:textId="77777777" w:rsidR="002633A2" w:rsidRDefault="002633A2" w:rsidP="002633A2">
      <w:r w:rsidRPr="003364B1">
        <w:rPr>
          <w:b/>
          <w:bCs/>
        </w:rPr>
        <w:t xml:space="preserve">Proposal </w:t>
      </w:r>
      <w:r>
        <w:rPr>
          <w:rFonts w:hint="eastAsia"/>
          <w:b/>
          <w:bCs/>
          <w:lang w:eastAsia="zh-CN"/>
        </w:rPr>
        <w:t>1</w:t>
      </w:r>
      <w:r>
        <w:rPr>
          <w:b/>
          <w:bCs/>
          <w:lang w:eastAsia="zh-CN"/>
        </w:rPr>
        <w:t>1</w:t>
      </w:r>
      <w:r w:rsidRPr="003364B1">
        <w:rPr>
          <w:b/>
          <w:bCs/>
        </w:rPr>
        <w:t xml:space="preserve">: </w:t>
      </w:r>
      <w:r>
        <w:rPr>
          <w:b/>
          <w:bCs/>
        </w:rPr>
        <w:t>RAN2 to discuss and conclude on the support for idle mode cell reselection between NTN and TN.</w:t>
      </w:r>
    </w:p>
    <w:p w14:paraId="0D5C3EB6" w14:textId="77777777" w:rsidR="002633A2" w:rsidRDefault="002633A2" w:rsidP="002633A2">
      <w:pPr>
        <w:rPr>
          <w:b/>
          <w:bCs/>
        </w:rPr>
      </w:pPr>
      <w:r w:rsidRPr="003364B1">
        <w:rPr>
          <w:b/>
          <w:bCs/>
        </w:rPr>
        <w:t xml:space="preserve">Proposal </w:t>
      </w:r>
      <w:r>
        <w:rPr>
          <w:rFonts w:hint="eastAsia"/>
          <w:b/>
          <w:bCs/>
          <w:lang w:eastAsia="zh-CN"/>
        </w:rPr>
        <w:t>1</w:t>
      </w:r>
      <w:r>
        <w:rPr>
          <w:b/>
          <w:bCs/>
          <w:lang w:eastAsia="zh-CN"/>
        </w:rPr>
        <w:t>2</w:t>
      </w:r>
      <w:r w:rsidRPr="003364B1">
        <w:rPr>
          <w:b/>
          <w:bCs/>
        </w:rPr>
        <w:t xml:space="preserve">: </w:t>
      </w:r>
      <w:r>
        <w:rPr>
          <w:b/>
          <w:bCs/>
        </w:rPr>
        <w:t>Impact of frequent change in list of terrestrial network neighbours on system information acquisition at IoT-NTN device needs to be factored in as part of supporting NTN-TN idle mode mobility.</w:t>
      </w:r>
    </w:p>
    <w:p w14:paraId="26DE934D" w14:textId="77777777" w:rsidR="002633A2" w:rsidRPr="00D97B7C" w:rsidRDefault="002633A2" w:rsidP="002633A2">
      <w:pPr>
        <w:rPr>
          <w:b/>
          <w:bCs/>
        </w:rPr>
      </w:pPr>
      <w:r w:rsidRPr="00D97B7C">
        <w:rPr>
          <w:b/>
          <w:bCs/>
        </w:rPr>
        <w:t>Proposal 1</w:t>
      </w:r>
      <w:r>
        <w:rPr>
          <w:b/>
          <w:bCs/>
        </w:rPr>
        <w:t>3</w:t>
      </w:r>
      <w:r w:rsidRPr="00D97B7C">
        <w:rPr>
          <w:b/>
          <w:bCs/>
        </w:rPr>
        <w:t>: RAN2 to analyse the dependency on GNSS based pre-compensation for idle mode cell reselection and other idle mode operations as part of NTN-IoT study.</w:t>
      </w:r>
    </w:p>
    <w:p w14:paraId="43C5B9E1" w14:textId="77777777" w:rsidR="002633A2" w:rsidRPr="00E36545" w:rsidRDefault="002633A2" w:rsidP="002633A2">
      <w:pPr>
        <w:rPr>
          <w:b/>
          <w:bCs/>
        </w:rPr>
      </w:pPr>
      <w:r w:rsidRPr="00E36545">
        <w:rPr>
          <w:b/>
          <w:bCs/>
        </w:rPr>
        <w:t xml:space="preserve">Proposal </w:t>
      </w:r>
      <w:r>
        <w:rPr>
          <w:rFonts w:hint="eastAsia"/>
          <w:b/>
          <w:bCs/>
          <w:lang w:eastAsia="zh-CN"/>
        </w:rPr>
        <w:t>1</w:t>
      </w:r>
      <w:r>
        <w:rPr>
          <w:b/>
          <w:bCs/>
          <w:lang w:eastAsia="zh-CN"/>
        </w:rPr>
        <w:t>4</w:t>
      </w:r>
      <w:r w:rsidRPr="00E36545">
        <w:rPr>
          <w:b/>
          <w:bCs/>
        </w:rPr>
        <w:t xml:space="preserve">: The throughput and latency requirement </w:t>
      </w:r>
      <w:r>
        <w:rPr>
          <w:b/>
          <w:bCs/>
        </w:rPr>
        <w:t>should be addressed first to facilitate</w:t>
      </w:r>
      <w:r w:rsidRPr="00E36545">
        <w:rPr>
          <w:b/>
          <w:bCs/>
        </w:rPr>
        <w:t xml:space="preserve"> HARQ operation design</w:t>
      </w:r>
      <w:r>
        <w:rPr>
          <w:b/>
          <w:bCs/>
        </w:rPr>
        <w:t xml:space="preserve"> for</w:t>
      </w:r>
      <w:r w:rsidRPr="00E36545">
        <w:rPr>
          <w:b/>
          <w:bCs/>
        </w:rPr>
        <w:t xml:space="preserve"> IoT NTN.</w:t>
      </w:r>
    </w:p>
    <w:p w14:paraId="1378BC77" w14:textId="77777777" w:rsidR="002633A2" w:rsidRPr="00E36545" w:rsidRDefault="002633A2" w:rsidP="002633A2">
      <w:pPr>
        <w:rPr>
          <w:b/>
          <w:bCs/>
        </w:rPr>
      </w:pPr>
      <w:r w:rsidRPr="00E36545">
        <w:rPr>
          <w:b/>
          <w:bCs/>
        </w:rPr>
        <w:lastRenderedPageBreak/>
        <w:t xml:space="preserve">Proposal </w:t>
      </w:r>
      <w:r>
        <w:rPr>
          <w:rFonts w:hint="eastAsia"/>
          <w:b/>
          <w:bCs/>
          <w:lang w:eastAsia="zh-CN"/>
        </w:rPr>
        <w:t>1</w:t>
      </w:r>
      <w:r>
        <w:rPr>
          <w:b/>
          <w:bCs/>
          <w:lang w:eastAsia="zh-CN"/>
        </w:rPr>
        <w:t>5</w:t>
      </w:r>
      <w:r w:rsidRPr="00E36545">
        <w:rPr>
          <w:b/>
          <w:bCs/>
        </w:rPr>
        <w:t xml:space="preserve">: Disabling HARQ feedback for DL, increasing HARQ number or other enhancements can be considered to avoid HARQ stalling in </w:t>
      </w:r>
      <w:r>
        <w:rPr>
          <w:b/>
          <w:bCs/>
        </w:rPr>
        <w:t xml:space="preserve">IoT </w:t>
      </w:r>
      <w:r w:rsidRPr="00E36545">
        <w:rPr>
          <w:b/>
          <w:bCs/>
        </w:rPr>
        <w:t>NTN.</w:t>
      </w:r>
    </w:p>
    <w:p w14:paraId="19E2DEE6" w14:textId="77777777" w:rsidR="002633A2" w:rsidRPr="00717E7F" w:rsidRDefault="002633A2" w:rsidP="002633A2">
      <w:pPr>
        <w:rPr>
          <w:b/>
          <w:bCs/>
          <w:lang w:eastAsia="zh-CN"/>
        </w:rPr>
      </w:pPr>
      <w:r w:rsidRPr="00717E7F">
        <w:rPr>
          <w:b/>
          <w:bCs/>
          <w:lang w:eastAsia="zh-CN"/>
        </w:rPr>
        <w:t xml:space="preserve">Proposal </w:t>
      </w:r>
      <w:r>
        <w:rPr>
          <w:rFonts w:hint="eastAsia"/>
          <w:b/>
          <w:bCs/>
          <w:lang w:eastAsia="zh-CN"/>
        </w:rPr>
        <w:t>1</w:t>
      </w:r>
      <w:r>
        <w:rPr>
          <w:b/>
          <w:bCs/>
          <w:lang w:eastAsia="zh-CN"/>
        </w:rPr>
        <w:t>6</w:t>
      </w:r>
      <w:r w:rsidRPr="00717E7F">
        <w:rPr>
          <w:b/>
          <w:bCs/>
          <w:lang w:eastAsia="zh-CN"/>
        </w:rPr>
        <w:t xml:space="preserve">: </w:t>
      </w:r>
      <w:r>
        <w:rPr>
          <w:b/>
          <w:bCs/>
          <w:lang w:eastAsia="zh-CN"/>
        </w:rPr>
        <w:t xml:space="preserve">RAN2 to study the value range modification on RLC </w:t>
      </w:r>
      <w:r w:rsidRPr="00387332">
        <w:rPr>
          <w:b/>
          <w:bCs/>
          <w:lang w:eastAsia="zh-CN"/>
        </w:rPr>
        <w:t>t-PollRetransmit</w:t>
      </w:r>
      <w:r>
        <w:rPr>
          <w:b/>
          <w:bCs/>
          <w:lang w:eastAsia="zh-CN"/>
        </w:rPr>
        <w:t xml:space="preserve"> timer and </w:t>
      </w:r>
      <w:r w:rsidRPr="00F67347">
        <w:rPr>
          <w:b/>
          <w:bCs/>
          <w:lang w:eastAsia="zh-CN"/>
        </w:rPr>
        <w:t xml:space="preserve">t-StatusProhibit timer </w:t>
      </w:r>
      <w:r>
        <w:rPr>
          <w:b/>
          <w:bCs/>
          <w:lang w:eastAsia="zh-CN"/>
        </w:rPr>
        <w:t>for eMTC over NTN, taking into account both RTD and number of channel repetitions</w:t>
      </w:r>
      <w:r w:rsidRPr="00717E7F">
        <w:rPr>
          <w:b/>
          <w:bCs/>
          <w:lang w:eastAsia="zh-CN"/>
        </w:rPr>
        <w:t>.</w:t>
      </w:r>
    </w:p>
    <w:p w14:paraId="2F8DE3D7" w14:textId="77777777" w:rsidR="002633A2" w:rsidRPr="00717E7F" w:rsidRDefault="002633A2" w:rsidP="002633A2">
      <w:pPr>
        <w:rPr>
          <w:b/>
          <w:bCs/>
          <w:lang w:eastAsia="zh-CN"/>
        </w:rPr>
      </w:pPr>
      <w:r w:rsidRPr="00717E7F">
        <w:rPr>
          <w:b/>
          <w:bCs/>
          <w:lang w:eastAsia="zh-CN"/>
        </w:rPr>
        <w:t xml:space="preserve">Proposal </w:t>
      </w:r>
      <w:r>
        <w:rPr>
          <w:rFonts w:hint="eastAsia"/>
          <w:b/>
          <w:bCs/>
          <w:lang w:eastAsia="zh-CN"/>
        </w:rPr>
        <w:t>1</w:t>
      </w:r>
      <w:r>
        <w:rPr>
          <w:b/>
          <w:bCs/>
          <w:lang w:eastAsia="zh-CN"/>
        </w:rPr>
        <w:t>7</w:t>
      </w:r>
      <w:r w:rsidRPr="00717E7F">
        <w:rPr>
          <w:b/>
          <w:bCs/>
          <w:lang w:eastAsia="zh-CN"/>
        </w:rPr>
        <w:t xml:space="preserve">: </w:t>
      </w:r>
      <w:r>
        <w:rPr>
          <w:b/>
          <w:bCs/>
          <w:lang w:eastAsia="zh-CN"/>
        </w:rPr>
        <w:t xml:space="preserve">The modification on PDCP </w:t>
      </w:r>
      <w:r w:rsidRPr="00BD5D92">
        <w:rPr>
          <w:b/>
          <w:bCs/>
          <w:lang w:eastAsia="zh-CN"/>
        </w:rPr>
        <w:t xml:space="preserve">discardTimer for IoT over NTN </w:t>
      </w:r>
      <w:r>
        <w:rPr>
          <w:b/>
          <w:bCs/>
          <w:lang w:eastAsia="zh-CN"/>
        </w:rPr>
        <w:t>can follow</w:t>
      </w:r>
      <w:r w:rsidRPr="00BD5D92">
        <w:rPr>
          <w:b/>
          <w:bCs/>
          <w:lang w:eastAsia="zh-CN"/>
        </w:rPr>
        <w:t xml:space="preserve"> the </w:t>
      </w:r>
      <w:r>
        <w:rPr>
          <w:b/>
          <w:bCs/>
          <w:lang w:eastAsia="zh-CN"/>
        </w:rPr>
        <w:t>way-forward</w:t>
      </w:r>
      <w:r w:rsidRPr="00BD5D92">
        <w:rPr>
          <w:b/>
          <w:bCs/>
          <w:lang w:eastAsia="zh-CN"/>
        </w:rPr>
        <w:t xml:space="preserve"> of NR over NTN</w:t>
      </w:r>
      <w:r w:rsidRPr="00717E7F">
        <w:rPr>
          <w:b/>
          <w:bCs/>
          <w:lang w:eastAsia="zh-CN"/>
        </w:rPr>
        <w:t>.</w:t>
      </w:r>
    </w:p>
    <w:p w14:paraId="716A711D" w14:textId="77777777" w:rsidR="002633A2" w:rsidRPr="007423ED" w:rsidRDefault="002633A2" w:rsidP="002633A2">
      <w:pPr>
        <w:rPr>
          <w:rFonts w:eastAsia="Calibri"/>
          <w:b/>
          <w:bCs/>
        </w:rPr>
      </w:pPr>
      <w:r w:rsidRPr="007423ED">
        <w:rPr>
          <w:b/>
          <w:bCs/>
        </w:rPr>
        <w:t xml:space="preserve">Proposal </w:t>
      </w:r>
      <w:r>
        <w:rPr>
          <w:rFonts w:hint="eastAsia"/>
          <w:b/>
          <w:bCs/>
          <w:lang w:eastAsia="zh-CN"/>
        </w:rPr>
        <w:t>1</w:t>
      </w:r>
      <w:r>
        <w:rPr>
          <w:b/>
          <w:bCs/>
          <w:lang w:eastAsia="zh-CN"/>
        </w:rPr>
        <w:t>8</w:t>
      </w:r>
      <w:r w:rsidRPr="007423ED">
        <w:rPr>
          <w:b/>
          <w:bCs/>
        </w:rPr>
        <w:t xml:space="preserve">: </w:t>
      </w:r>
      <w:r>
        <w:rPr>
          <w:rFonts w:hint="eastAsia"/>
          <w:b/>
          <w:bCs/>
          <w:lang w:eastAsia="zh-CN"/>
        </w:rPr>
        <w:t>The</w:t>
      </w:r>
      <w:r>
        <w:rPr>
          <w:b/>
          <w:bCs/>
        </w:rPr>
        <w:t xml:space="preserve"> </w:t>
      </w:r>
      <w:r w:rsidRPr="007423ED">
        <w:rPr>
          <w:b/>
          <w:bCs/>
        </w:rPr>
        <w:t xml:space="preserve">UL scheduling enhancements </w:t>
      </w:r>
      <w:r>
        <w:rPr>
          <w:b/>
          <w:bCs/>
        </w:rPr>
        <w:t>for d</w:t>
      </w:r>
      <w:r w:rsidRPr="007423ED">
        <w:rPr>
          <w:b/>
          <w:bCs/>
        </w:rPr>
        <w:t xml:space="preserve">elay </w:t>
      </w:r>
      <w:r>
        <w:rPr>
          <w:b/>
          <w:bCs/>
        </w:rPr>
        <w:t>reduction are</w:t>
      </w:r>
      <w:r w:rsidRPr="007423ED">
        <w:rPr>
          <w:b/>
          <w:bCs/>
        </w:rPr>
        <w:t xml:space="preserve"> not </w:t>
      </w:r>
      <w:r>
        <w:rPr>
          <w:b/>
          <w:bCs/>
        </w:rPr>
        <w:t>necessary</w:t>
      </w:r>
      <w:r w:rsidRPr="007423ED">
        <w:rPr>
          <w:b/>
          <w:bCs/>
        </w:rPr>
        <w:t xml:space="preserve"> </w:t>
      </w:r>
      <w:r>
        <w:rPr>
          <w:b/>
          <w:bCs/>
        </w:rPr>
        <w:t>for</w:t>
      </w:r>
      <w:r w:rsidRPr="007423ED">
        <w:rPr>
          <w:b/>
          <w:bCs/>
        </w:rPr>
        <w:t xml:space="preserve"> IoT over NTN</w:t>
      </w:r>
      <w:r>
        <w:rPr>
          <w:b/>
          <w:bCs/>
        </w:rPr>
        <w:t>.</w:t>
      </w:r>
    </w:p>
    <w:p w14:paraId="60449C3F" w14:textId="0997BE47" w:rsidR="00A209D6" w:rsidRDefault="002633A2" w:rsidP="00A209D6">
      <w:r w:rsidRPr="007423ED">
        <w:rPr>
          <w:b/>
          <w:bCs/>
        </w:rPr>
        <w:t xml:space="preserve">Proposal </w:t>
      </w:r>
      <w:r w:rsidR="00CA2678">
        <w:rPr>
          <w:b/>
          <w:bCs/>
          <w:lang w:eastAsia="zh-CN"/>
        </w:rPr>
        <w:t>19</w:t>
      </w:r>
      <w:r w:rsidRPr="007423ED">
        <w:rPr>
          <w:b/>
          <w:bCs/>
        </w:rPr>
        <w:t xml:space="preserve">: </w:t>
      </w:r>
      <w:r>
        <w:rPr>
          <w:b/>
          <w:bCs/>
        </w:rPr>
        <w:t>RAN2 to study possible data transmission interruptions due to cell changes caused by satellite movements.</w:t>
      </w:r>
    </w:p>
    <w:p w14:paraId="11695338" w14:textId="77777777" w:rsidR="00D90DFD" w:rsidRDefault="00D90DFD" w:rsidP="00D90DFD">
      <w:pPr>
        <w:pStyle w:val="Heading1"/>
        <w:ind w:left="0" w:firstLine="0"/>
      </w:pPr>
      <w:r>
        <w:t>References</w:t>
      </w:r>
    </w:p>
    <w:p w14:paraId="10AA3874" w14:textId="49D6F7AF" w:rsidR="00D90DFD" w:rsidRDefault="00D90DFD" w:rsidP="00D90DFD">
      <w:pPr>
        <w:pStyle w:val="ListParagraph"/>
        <w:numPr>
          <w:ilvl w:val="0"/>
          <w:numId w:val="10"/>
        </w:numPr>
        <w:spacing w:after="0"/>
      </w:pPr>
      <w:bookmarkStart w:id="1" w:name="_Ref53404424"/>
      <w:r>
        <w:t>MediaTek, ”</w:t>
      </w:r>
      <w:r w:rsidRPr="00BF5862">
        <w:t>Study on NB-Io/eMTC support for Non-Terrestrial Network</w:t>
      </w:r>
      <w:r>
        <w:t>”, RP-193235, December 2019</w:t>
      </w:r>
      <w:bookmarkEnd w:id="1"/>
    </w:p>
    <w:p w14:paraId="56E8D515" w14:textId="034EE720" w:rsidR="00090A86" w:rsidRDefault="00090A86" w:rsidP="00090A86">
      <w:pPr>
        <w:pStyle w:val="ListParagraph"/>
        <w:numPr>
          <w:ilvl w:val="0"/>
          <w:numId w:val="10"/>
        </w:numPr>
        <w:spacing w:after="200" w:line="276" w:lineRule="auto"/>
      </w:pPr>
      <w:r w:rsidRPr="00A704E8">
        <w:t>3GPP TR 38.821 V16.0.0, Solutions for NR to support non-terrestrial networks (NTN), December 2019</w:t>
      </w:r>
    </w:p>
    <w:p w14:paraId="34969F48" w14:textId="77777777" w:rsidR="00D90DFD" w:rsidRPr="006E13D1" w:rsidRDefault="00D90DFD" w:rsidP="00A209D6"/>
    <w:p w14:paraId="432B0A82" w14:textId="77777777" w:rsidR="00A209D6" w:rsidRDefault="00A209D6" w:rsidP="00A209D6"/>
    <w:p w14:paraId="653EED19" w14:textId="77777777" w:rsidR="00A209D6" w:rsidRPr="00CD4C7B" w:rsidRDefault="00A209D6" w:rsidP="00A209D6"/>
    <w:sectPr w:rsidR="00A209D6"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C61072" w14:textId="77777777" w:rsidR="00936ED9" w:rsidRDefault="00936ED9">
      <w:r>
        <w:separator/>
      </w:r>
    </w:p>
  </w:endnote>
  <w:endnote w:type="continuationSeparator" w:id="0">
    <w:p w14:paraId="33157510" w14:textId="77777777" w:rsidR="00936ED9" w:rsidRDefault="00936ED9">
      <w:r>
        <w:continuationSeparator/>
      </w:r>
    </w:p>
  </w:endnote>
  <w:endnote w:type="continuationNotice" w:id="1">
    <w:p w14:paraId="6CF6A9DF" w14:textId="77777777" w:rsidR="00936ED9" w:rsidRDefault="00936E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9DB80B" w14:textId="77777777" w:rsidR="00936ED9" w:rsidRDefault="00936ED9">
      <w:r>
        <w:separator/>
      </w:r>
    </w:p>
  </w:footnote>
  <w:footnote w:type="continuationSeparator" w:id="0">
    <w:p w14:paraId="68572EA2" w14:textId="77777777" w:rsidR="00936ED9" w:rsidRDefault="00936ED9">
      <w:r>
        <w:continuationSeparator/>
      </w:r>
    </w:p>
  </w:footnote>
  <w:footnote w:type="continuationNotice" w:id="1">
    <w:p w14:paraId="1AE05B85" w14:textId="77777777" w:rsidR="00936ED9" w:rsidRDefault="00936ED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3055DFD"/>
    <w:multiLevelType w:val="hybridMultilevel"/>
    <w:tmpl w:val="02225508"/>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932913"/>
    <w:multiLevelType w:val="hybridMultilevel"/>
    <w:tmpl w:val="EBEC5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8803D2"/>
    <w:multiLevelType w:val="hybridMultilevel"/>
    <w:tmpl w:val="88303758"/>
    <w:lvl w:ilvl="0" w:tplc="8A8A402A">
      <w:start w:val="1"/>
      <w:numFmt w:val="bullet"/>
      <w:lvlText w:val="•"/>
      <w:lvlJc w:val="left"/>
      <w:pPr>
        <w:tabs>
          <w:tab w:val="num" w:pos="928"/>
        </w:tabs>
        <w:ind w:left="928" w:hanging="360"/>
      </w:pPr>
      <w:rPr>
        <w:rFonts w:ascii="Arial" w:hAnsi="Arial" w:hint="default"/>
      </w:rPr>
    </w:lvl>
    <w:lvl w:ilvl="1" w:tplc="1F74F74E">
      <w:start w:val="1"/>
      <w:numFmt w:val="bullet"/>
      <w:lvlText w:val="•"/>
      <w:lvlJc w:val="left"/>
      <w:pPr>
        <w:tabs>
          <w:tab w:val="num" w:pos="1648"/>
        </w:tabs>
        <w:ind w:left="1648" w:hanging="360"/>
      </w:pPr>
      <w:rPr>
        <w:rFonts w:ascii="Arial" w:hAnsi="Arial" w:hint="default"/>
      </w:rPr>
    </w:lvl>
    <w:lvl w:ilvl="2" w:tplc="088AEA68">
      <w:start w:val="244"/>
      <w:numFmt w:val="bullet"/>
      <w:lvlText w:val="o"/>
      <w:lvlJc w:val="left"/>
      <w:pPr>
        <w:tabs>
          <w:tab w:val="num" w:pos="2368"/>
        </w:tabs>
        <w:ind w:left="2368" w:hanging="360"/>
      </w:pPr>
      <w:rPr>
        <w:rFonts w:ascii="Courier New" w:hAnsi="Courier New" w:hint="default"/>
      </w:rPr>
    </w:lvl>
    <w:lvl w:ilvl="3" w:tplc="189ECC6A" w:tentative="1">
      <w:start w:val="1"/>
      <w:numFmt w:val="bullet"/>
      <w:lvlText w:val="•"/>
      <w:lvlJc w:val="left"/>
      <w:pPr>
        <w:tabs>
          <w:tab w:val="num" w:pos="3088"/>
        </w:tabs>
        <w:ind w:left="3088" w:hanging="360"/>
      </w:pPr>
      <w:rPr>
        <w:rFonts w:ascii="Arial" w:hAnsi="Arial" w:hint="default"/>
      </w:rPr>
    </w:lvl>
    <w:lvl w:ilvl="4" w:tplc="BC2688D6" w:tentative="1">
      <w:start w:val="1"/>
      <w:numFmt w:val="bullet"/>
      <w:lvlText w:val="•"/>
      <w:lvlJc w:val="left"/>
      <w:pPr>
        <w:tabs>
          <w:tab w:val="num" w:pos="3808"/>
        </w:tabs>
        <w:ind w:left="3808" w:hanging="360"/>
      </w:pPr>
      <w:rPr>
        <w:rFonts w:ascii="Arial" w:hAnsi="Arial" w:hint="default"/>
      </w:rPr>
    </w:lvl>
    <w:lvl w:ilvl="5" w:tplc="FF340662" w:tentative="1">
      <w:start w:val="1"/>
      <w:numFmt w:val="bullet"/>
      <w:lvlText w:val="•"/>
      <w:lvlJc w:val="left"/>
      <w:pPr>
        <w:tabs>
          <w:tab w:val="num" w:pos="4528"/>
        </w:tabs>
        <w:ind w:left="4528" w:hanging="360"/>
      </w:pPr>
      <w:rPr>
        <w:rFonts w:ascii="Arial" w:hAnsi="Arial" w:hint="default"/>
      </w:rPr>
    </w:lvl>
    <w:lvl w:ilvl="6" w:tplc="1C74FC56" w:tentative="1">
      <w:start w:val="1"/>
      <w:numFmt w:val="bullet"/>
      <w:lvlText w:val="•"/>
      <w:lvlJc w:val="left"/>
      <w:pPr>
        <w:tabs>
          <w:tab w:val="num" w:pos="5248"/>
        </w:tabs>
        <w:ind w:left="5248" w:hanging="360"/>
      </w:pPr>
      <w:rPr>
        <w:rFonts w:ascii="Arial" w:hAnsi="Arial" w:hint="default"/>
      </w:rPr>
    </w:lvl>
    <w:lvl w:ilvl="7" w:tplc="042EB8D8" w:tentative="1">
      <w:start w:val="1"/>
      <w:numFmt w:val="bullet"/>
      <w:lvlText w:val="•"/>
      <w:lvlJc w:val="left"/>
      <w:pPr>
        <w:tabs>
          <w:tab w:val="num" w:pos="5968"/>
        </w:tabs>
        <w:ind w:left="5968" w:hanging="360"/>
      </w:pPr>
      <w:rPr>
        <w:rFonts w:ascii="Arial" w:hAnsi="Arial" w:hint="default"/>
      </w:rPr>
    </w:lvl>
    <w:lvl w:ilvl="8" w:tplc="C77C7330" w:tentative="1">
      <w:start w:val="1"/>
      <w:numFmt w:val="bullet"/>
      <w:lvlText w:val="•"/>
      <w:lvlJc w:val="left"/>
      <w:pPr>
        <w:tabs>
          <w:tab w:val="num" w:pos="6688"/>
        </w:tabs>
        <w:ind w:left="6688" w:hanging="360"/>
      </w:pPr>
      <w:rPr>
        <w:rFonts w:ascii="Arial" w:hAnsi="Arial" w:hint="default"/>
      </w:rPr>
    </w:lvl>
  </w:abstractNum>
  <w:abstractNum w:abstractNumId="5"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94D07D8"/>
    <w:multiLevelType w:val="hybridMultilevel"/>
    <w:tmpl w:val="A93876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F36D10"/>
    <w:multiLevelType w:val="hybridMultilevel"/>
    <w:tmpl w:val="93D4A4C8"/>
    <w:lvl w:ilvl="0" w:tplc="FDDA330C">
      <w:start w:val="1"/>
      <w:numFmt w:val="bullet"/>
      <w:lvlText w:val="•"/>
      <w:lvlJc w:val="left"/>
      <w:pPr>
        <w:tabs>
          <w:tab w:val="num" w:pos="720"/>
        </w:tabs>
        <w:ind w:left="720" w:hanging="360"/>
      </w:pPr>
      <w:rPr>
        <w:rFonts w:ascii="Arial" w:hAnsi="Arial" w:hint="default"/>
      </w:rPr>
    </w:lvl>
    <w:lvl w:ilvl="1" w:tplc="AC329E76" w:tentative="1">
      <w:start w:val="1"/>
      <w:numFmt w:val="bullet"/>
      <w:lvlText w:val="•"/>
      <w:lvlJc w:val="left"/>
      <w:pPr>
        <w:tabs>
          <w:tab w:val="num" w:pos="1440"/>
        </w:tabs>
        <w:ind w:left="1440" w:hanging="360"/>
      </w:pPr>
      <w:rPr>
        <w:rFonts w:ascii="Arial" w:hAnsi="Arial" w:hint="default"/>
      </w:rPr>
    </w:lvl>
    <w:lvl w:ilvl="2" w:tplc="C660FDB6" w:tentative="1">
      <w:start w:val="1"/>
      <w:numFmt w:val="bullet"/>
      <w:lvlText w:val="•"/>
      <w:lvlJc w:val="left"/>
      <w:pPr>
        <w:tabs>
          <w:tab w:val="num" w:pos="2160"/>
        </w:tabs>
        <w:ind w:left="2160" w:hanging="360"/>
      </w:pPr>
      <w:rPr>
        <w:rFonts w:ascii="Arial" w:hAnsi="Arial" w:hint="default"/>
      </w:rPr>
    </w:lvl>
    <w:lvl w:ilvl="3" w:tplc="BB1E20F2" w:tentative="1">
      <w:start w:val="1"/>
      <w:numFmt w:val="bullet"/>
      <w:lvlText w:val="•"/>
      <w:lvlJc w:val="left"/>
      <w:pPr>
        <w:tabs>
          <w:tab w:val="num" w:pos="2880"/>
        </w:tabs>
        <w:ind w:left="2880" w:hanging="360"/>
      </w:pPr>
      <w:rPr>
        <w:rFonts w:ascii="Arial" w:hAnsi="Arial" w:hint="default"/>
      </w:rPr>
    </w:lvl>
    <w:lvl w:ilvl="4" w:tplc="2BF6E1B8" w:tentative="1">
      <w:start w:val="1"/>
      <w:numFmt w:val="bullet"/>
      <w:lvlText w:val="•"/>
      <w:lvlJc w:val="left"/>
      <w:pPr>
        <w:tabs>
          <w:tab w:val="num" w:pos="3600"/>
        </w:tabs>
        <w:ind w:left="3600" w:hanging="360"/>
      </w:pPr>
      <w:rPr>
        <w:rFonts w:ascii="Arial" w:hAnsi="Arial" w:hint="default"/>
      </w:rPr>
    </w:lvl>
    <w:lvl w:ilvl="5" w:tplc="11149540" w:tentative="1">
      <w:start w:val="1"/>
      <w:numFmt w:val="bullet"/>
      <w:lvlText w:val="•"/>
      <w:lvlJc w:val="left"/>
      <w:pPr>
        <w:tabs>
          <w:tab w:val="num" w:pos="4320"/>
        </w:tabs>
        <w:ind w:left="4320" w:hanging="360"/>
      </w:pPr>
      <w:rPr>
        <w:rFonts w:ascii="Arial" w:hAnsi="Arial" w:hint="default"/>
      </w:rPr>
    </w:lvl>
    <w:lvl w:ilvl="6" w:tplc="2F0ADBEC" w:tentative="1">
      <w:start w:val="1"/>
      <w:numFmt w:val="bullet"/>
      <w:lvlText w:val="•"/>
      <w:lvlJc w:val="left"/>
      <w:pPr>
        <w:tabs>
          <w:tab w:val="num" w:pos="5040"/>
        </w:tabs>
        <w:ind w:left="5040" w:hanging="360"/>
      </w:pPr>
      <w:rPr>
        <w:rFonts w:ascii="Arial" w:hAnsi="Arial" w:hint="default"/>
      </w:rPr>
    </w:lvl>
    <w:lvl w:ilvl="7" w:tplc="748806BC" w:tentative="1">
      <w:start w:val="1"/>
      <w:numFmt w:val="bullet"/>
      <w:lvlText w:val="•"/>
      <w:lvlJc w:val="left"/>
      <w:pPr>
        <w:tabs>
          <w:tab w:val="num" w:pos="5760"/>
        </w:tabs>
        <w:ind w:left="5760" w:hanging="360"/>
      </w:pPr>
      <w:rPr>
        <w:rFonts w:ascii="Arial" w:hAnsi="Arial" w:hint="default"/>
      </w:rPr>
    </w:lvl>
    <w:lvl w:ilvl="8" w:tplc="95321A0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4F275B55"/>
    <w:multiLevelType w:val="hybridMultilevel"/>
    <w:tmpl w:val="17B6FB20"/>
    <w:lvl w:ilvl="0" w:tplc="04090003">
      <w:start w:val="1"/>
      <w:numFmt w:val="bullet"/>
      <w:lvlText w:val="o"/>
      <w:lvlJc w:val="left"/>
      <w:pPr>
        <w:tabs>
          <w:tab w:val="num" w:pos="928"/>
        </w:tabs>
        <w:ind w:left="928" w:hanging="360"/>
      </w:pPr>
      <w:rPr>
        <w:rFonts w:ascii="Courier New" w:hAnsi="Courier New" w:cs="Courier New" w:hint="default"/>
      </w:rPr>
    </w:lvl>
    <w:lvl w:ilvl="1" w:tplc="1F74F74E">
      <w:start w:val="1"/>
      <w:numFmt w:val="bullet"/>
      <w:lvlText w:val="•"/>
      <w:lvlJc w:val="left"/>
      <w:pPr>
        <w:tabs>
          <w:tab w:val="num" w:pos="1648"/>
        </w:tabs>
        <w:ind w:left="1648" w:hanging="360"/>
      </w:pPr>
      <w:rPr>
        <w:rFonts w:ascii="Arial" w:hAnsi="Arial" w:hint="default"/>
      </w:rPr>
    </w:lvl>
    <w:lvl w:ilvl="2" w:tplc="088AEA68">
      <w:start w:val="244"/>
      <w:numFmt w:val="bullet"/>
      <w:lvlText w:val="o"/>
      <w:lvlJc w:val="left"/>
      <w:pPr>
        <w:tabs>
          <w:tab w:val="num" w:pos="2368"/>
        </w:tabs>
        <w:ind w:left="2368" w:hanging="360"/>
      </w:pPr>
      <w:rPr>
        <w:rFonts w:ascii="Courier New" w:hAnsi="Courier New" w:hint="default"/>
      </w:rPr>
    </w:lvl>
    <w:lvl w:ilvl="3" w:tplc="189ECC6A" w:tentative="1">
      <w:start w:val="1"/>
      <w:numFmt w:val="bullet"/>
      <w:lvlText w:val="•"/>
      <w:lvlJc w:val="left"/>
      <w:pPr>
        <w:tabs>
          <w:tab w:val="num" w:pos="3088"/>
        </w:tabs>
        <w:ind w:left="3088" w:hanging="360"/>
      </w:pPr>
      <w:rPr>
        <w:rFonts w:ascii="Arial" w:hAnsi="Arial" w:hint="default"/>
      </w:rPr>
    </w:lvl>
    <w:lvl w:ilvl="4" w:tplc="BC2688D6" w:tentative="1">
      <w:start w:val="1"/>
      <w:numFmt w:val="bullet"/>
      <w:lvlText w:val="•"/>
      <w:lvlJc w:val="left"/>
      <w:pPr>
        <w:tabs>
          <w:tab w:val="num" w:pos="3808"/>
        </w:tabs>
        <w:ind w:left="3808" w:hanging="360"/>
      </w:pPr>
      <w:rPr>
        <w:rFonts w:ascii="Arial" w:hAnsi="Arial" w:hint="default"/>
      </w:rPr>
    </w:lvl>
    <w:lvl w:ilvl="5" w:tplc="FF340662" w:tentative="1">
      <w:start w:val="1"/>
      <w:numFmt w:val="bullet"/>
      <w:lvlText w:val="•"/>
      <w:lvlJc w:val="left"/>
      <w:pPr>
        <w:tabs>
          <w:tab w:val="num" w:pos="4528"/>
        </w:tabs>
        <w:ind w:left="4528" w:hanging="360"/>
      </w:pPr>
      <w:rPr>
        <w:rFonts w:ascii="Arial" w:hAnsi="Arial" w:hint="default"/>
      </w:rPr>
    </w:lvl>
    <w:lvl w:ilvl="6" w:tplc="1C74FC56" w:tentative="1">
      <w:start w:val="1"/>
      <w:numFmt w:val="bullet"/>
      <w:lvlText w:val="•"/>
      <w:lvlJc w:val="left"/>
      <w:pPr>
        <w:tabs>
          <w:tab w:val="num" w:pos="5248"/>
        </w:tabs>
        <w:ind w:left="5248" w:hanging="360"/>
      </w:pPr>
      <w:rPr>
        <w:rFonts w:ascii="Arial" w:hAnsi="Arial" w:hint="default"/>
      </w:rPr>
    </w:lvl>
    <w:lvl w:ilvl="7" w:tplc="042EB8D8" w:tentative="1">
      <w:start w:val="1"/>
      <w:numFmt w:val="bullet"/>
      <w:lvlText w:val="•"/>
      <w:lvlJc w:val="left"/>
      <w:pPr>
        <w:tabs>
          <w:tab w:val="num" w:pos="5968"/>
        </w:tabs>
        <w:ind w:left="5968" w:hanging="360"/>
      </w:pPr>
      <w:rPr>
        <w:rFonts w:ascii="Arial" w:hAnsi="Arial" w:hint="default"/>
      </w:rPr>
    </w:lvl>
    <w:lvl w:ilvl="8" w:tplc="C77C7330" w:tentative="1">
      <w:start w:val="1"/>
      <w:numFmt w:val="bullet"/>
      <w:lvlText w:val="•"/>
      <w:lvlJc w:val="left"/>
      <w:pPr>
        <w:tabs>
          <w:tab w:val="num" w:pos="6688"/>
        </w:tabs>
        <w:ind w:left="6688" w:hanging="360"/>
      </w:pPr>
      <w:rPr>
        <w:rFonts w:ascii="Arial" w:hAnsi="Arial" w:hint="default"/>
      </w:rPr>
    </w:lvl>
  </w:abstractNum>
  <w:abstractNum w:abstractNumId="13" w15:restartNumberingAfterBreak="0">
    <w:nsid w:val="5B47060F"/>
    <w:multiLevelType w:val="hybridMultilevel"/>
    <w:tmpl w:val="5B47060F"/>
    <w:lvl w:ilvl="0" w:tplc="E666620E">
      <w:start w:val="1"/>
      <w:numFmt w:val="decimal"/>
      <w:lvlText w:val="%1."/>
      <w:lvlJc w:val="left"/>
      <w:pPr>
        <w:ind w:left="1619" w:hanging="360"/>
      </w:pPr>
    </w:lvl>
    <w:lvl w:ilvl="1" w:tplc="3828C1FE">
      <w:start w:val="1"/>
      <w:numFmt w:val="lowerLetter"/>
      <w:lvlText w:val="%2."/>
      <w:lvlJc w:val="left"/>
      <w:pPr>
        <w:ind w:left="2339" w:hanging="360"/>
      </w:pPr>
    </w:lvl>
    <w:lvl w:ilvl="2" w:tplc="A0E2853A">
      <w:start w:val="1"/>
      <w:numFmt w:val="lowerRoman"/>
      <w:lvlText w:val="%3."/>
      <w:lvlJc w:val="right"/>
      <w:pPr>
        <w:ind w:left="3059" w:hanging="180"/>
      </w:pPr>
    </w:lvl>
    <w:lvl w:ilvl="3" w:tplc="60C2510A">
      <w:start w:val="1"/>
      <w:numFmt w:val="decimal"/>
      <w:lvlText w:val="%4."/>
      <w:lvlJc w:val="left"/>
      <w:pPr>
        <w:ind w:left="3779" w:hanging="360"/>
      </w:pPr>
    </w:lvl>
    <w:lvl w:ilvl="4" w:tplc="41F4A564">
      <w:start w:val="1"/>
      <w:numFmt w:val="lowerLetter"/>
      <w:lvlText w:val="%5."/>
      <w:lvlJc w:val="left"/>
      <w:pPr>
        <w:ind w:left="4499" w:hanging="360"/>
      </w:pPr>
    </w:lvl>
    <w:lvl w:ilvl="5" w:tplc="74A67D4E">
      <w:start w:val="1"/>
      <w:numFmt w:val="lowerRoman"/>
      <w:lvlText w:val="%6."/>
      <w:lvlJc w:val="right"/>
      <w:pPr>
        <w:ind w:left="5219" w:hanging="180"/>
      </w:pPr>
    </w:lvl>
    <w:lvl w:ilvl="6" w:tplc="BBA6470C">
      <w:start w:val="1"/>
      <w:numFmt w:val="decimal"/>
      <w:lvlText w:val="%7."/>
      <w:lvlJc w:val="left"/>
      <w:pPr>
        <w:ind w:left="5939" w:hanging="360"/>
      </w:pPr>
    </w:lvl>
    <w:lvl w:ilvl="7" w:tplc="1098ED26">
      <w:start w:val="1"/>
      <w:numFmt w:val="lowerLetter"/>
      <w:lvlText w:val="%8."/>
      <w:lvlJc w:val="left"/>
      <w:pPr>
        <w:ind w:left="6659" w:hanging="360"/>
      </w:pPr>
    </w:lvl>
    <w:lvl w:ilvl="8" w:tplc="80F23F42">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10"/>
  </w:num>
  <w:num w:numId="7">
    <w:abstractNumId w:val="11"/>
  </w:num>
  <w:num w:numId="8">
    <w:abstractNumId w:val="8"/>
  </w:num>
  <w:num w:numId="9">
    <w:abstractNumId w:val="9"/>
  </w:num>
  <w:num w:numId="10">
    <w:abstractNumId w:val="5"/>
  </w:num>
  <w:num w:numId="11">
    <w:abstractNumId w:val="4"/>
  </w:num>
  <w:num w:numId="12">
    <w:abstractNumId w:val="12"/>
  </w:num>
  <w:num w:numId="13">
    <w:abstractNumId w:val="3"/>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isplayBackgroundShap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58A"/>
    <w:rsid w:val="00016557"/>
    <w:rsid w:val="00021FD5"/>
    <w:rsid w:val="00023C40"/>
    <w:rsid w:val="00033397"/>
    <w:rsid w:val="00040095"/>
    <w:rsid w:val="000552EE"/>
    <w:rsid w:val="00073C9C"/>
    <w:rsid w:val="00075E02"/>
    <w:rsid w:val="00080512"/>
    <w:rsid w:val="00090468"/>
    <w:rsid w:val="00090A86"/>
    <w:rsid w:val="00094568"/>
    <w:rsid w:val="000A0829"/>
    <w:rsid w:val="000A085B"/>
    <w:rsid w:val="000A3FB0"/>
    <w:rsid w:val="000A5D84"/>
    <w:rsid w:val="000A79DB"/>
    <w:rsid w:val="000B7BCF"/>
    <w:rsid w:val="000C522B"/>
    <w:rsid w:val="000D58AB"/>
    <w:rsid w:val="000E3AD5"/>
    <w:rsid w:val="000E5C4F"/>
    <w:rsid w:val="000E7E61"/>
    <w:rsid w:val="000F070D"/>
    <w:rsid w:val="00100F4E"/>
    <w:rsid w:val="001075D5"/>
    <w:rsid w:val="00112F1A"/>
    <w:rsid w:val="001223EA"/>
    <w:rsid w:val="00127EEB"/>
    <w:rsid w:val="00132279"/>
    <w:rsid w:val="0013330F"/>
    <w:rsid w:val="00133ABC"/>
    <w:rsid w:val="00145075"/>
    <w:rsid w:val="001741A0"/>
    <w:rsid w:val="00175FA0"/>
    <w:rsid w:val="00194CD0"/>
    <w:rsid w:val="00195508"/>
    <w:rsid w:val="001A550E"/>
    <w:rsid w:val="001B3C88"/>
    <w:rsid w:val="001B49C9"/>
    <w:rsid w:val="001C23F4"/>
    <w:rsid w:val="001C4F79"/>
    <w:rsid w:val="001E7596"/>
    <w:rsid w:val="001F0CB5"/>
    <w:rsid w:val="001F168B"/>
    <w:rsid w:val="001F5EAC"/>
    <w:rsid w:val="001F7831"/>
    <w:rsid w:val="00200D2F"/>
    <w:rsid w:val="00204045"/>
    <w:rsid w:val="002044CD"/>
    <w:rsid w:val="00206AB0"/>
    <w:rsid w:val="0020712B"/>
    <w:rsid w:val="00207317"/>
    <w:rsid w:val="00210BB0"/>
    <w:rsid w:val="0022606D"/>
    <w:rsid w:val="00231728"/>
    <w:rsid w:val="00244A05"/>
    <w:rsid w:val="00250404"/>
    <w:rsid w:val="00253190"/>
    <w:rsid w:val="00260B7F"/>
    <w:rsid w:val="002610D8"/>
    <w:rsid w:val="002633A2"/>
    <w:rsid w:val="002747EC"/>
    <w:rsid w:val="00276D3B"/>
    <w:rsid w:val="00280B90"/>
    <w:rsid w:val="002855BF"/>
    <w:rsid w:val="00292447"/>
    <w:rsid w:val="00294578"/>
    <w:rsid w:val="00297AEB"/>
    <w:rsid w:val="002B3948"/>
    <w:rsid w:val="002D32EA"/>
    <w:rsid w:val="002E1D13"/>
    <w:rsid w:val="002F0D22"/>
    <w:rsid w:val="00311B17"/>
    <w:rsid w:val="00313490"/>
    <w:rsid w:val="00314F95"/>
    <w:rsid w:val="003172DC"/>
    <w:rsid w:val="00325AE3"/>
    <w:rsid w:val="00326069"/>
    <w:rsid w:val="00354194"/>
    <w:rsid w:val="0035462D"/>
    <w:rsid w:val="0035588F"/>
    <w:rsid w:val="0036459E"/>
    <w:rsid w:val="00364B41"/>
    <w:rsid w:val="00383096"/>
    <w:rsid w:val="00386988"/>
    <w:rsid w:val="0039346C"/>
    <w:rsid w:val="003A41EF"/>
    <w:rsid w:val="003B40AD"/>
    <w:rsid w:val="003C4E37"/>
    <w:rsid w:val="003C727B"/>
    <w:rsid w:val="003D06D0"/>
    <w:rsid w:val="003E16BE"/>
    <w:rsid w:val="003F4E28"/>
    <w:rsid w:val="003F5F88"/>
    <w:rsid w:val="004006E8"/>
    <w:rsid w:val="00401855"/>
    <w:rsid w:val="00415BBC"/>
    <w:rsid w:val="0043179F"/>
    <w:rsid w:val="0043797F"/>
    <w:rsid w:val="004447C1"/>
    <w:rsid w:val="00464160"/>
    <w:rsid w:val="00465587"/>
    <w:rsid w:val="00474E15"/>
    <w:rsid w:val="00476F4B"/>
    <w:rsid w:val="00477455"/>
    <w:rsid w:val="004802D3"/>
    <w:rsid w:val="004868E1"/>
    <w:rsid w:val="00490922"/>
    <w:rsid w:val="00491751"/>
    <w:rsid w:val="00492E8E"/>
    <w:rsid w:val="004A1F7B"/>
    <w:rsid w:val="004B1DDD"/>
    <w:rsid w:val="004C0DEF"/>
    <w:rsid w:val="004C44D2"/>
    <w:rsid w:val="004D0B18"/>
    <w:rsid w:val="004D3578"/>
    <w:rsid w:val="004D380D"/>
    <w:rsid w:val="004D4F96"/>
    <w:rsid w:val="004E213A"/>
    <w:rsid w:val="00503171"/>
    <w:rsid w:val="00506C28"/>
    <w:rsid w:val="00515D91"/>
    <w:rsid w:val="00520A14"/>
    <w:rsid w:val="00530D78"/>
    <w:rsid w:val="00534DA0"/>
    <w:rsid w:val="00543E6C"/>
    <w:rsid w:val="00565087"/>
    <w:rsid w:val="0056573F"/>
    <w:rsid w:val="00571279"/>
    <w:rsid w:val="00571FC9"/>
    <w:rsid w:val="00582F73"/>
    <w:rsid w:val="00591777"/>
    <w:rsid w:val="00593626"/>
    <w:rsid w:val="005A1113"/>
    <w:rsid w:val="005A49C6"/>
    <w:rsid w:val="005B22E0"/>
    <w:rsid w:val="005B73BB"/>
    <w:rsid w:val="005F3288"/>
    <w:rsid w:val="00611566"/>
    <w:rsid w:val="006359AD"/>
    <w:rsid w:val="0064610F"/>
    <w:rsid w:val="00646D99"/>
    <w:rsid w:val="00656910"/>
    <w:rsid w:val="006574C0"/>
    <w:rsid w:val="00664B01"/>
    <w:rsid w:val="00687110"/>
    <w:rsid w:val="0068720A"/>
    <w:rsid w:val="00696821"/>
    <w:rsid w:val="006A13C9"/>
    <w:rsid w:val="006A23A2"/>
    <w:rsid w:val="006A5253"/>
    <w:rsid w:val="006C1EDB"/>
    <w:rsid w:val="006C66D8"/>
    <w:rsid w:val="006D1E24"/>
    <w:rsid w:val="006D35DE"/>
    <w:rsid w:val="006D3D22"/>
    <w:rsid w:val="006E1417"/>
    <w:rsid w:val="006F241E"/>
    <w:rsid w:val="006F6A2C"/>
    <w:rsid w:val="00704D71"/>
    <w:rsid w:val="007069DC"/>
    <w:rsid w:val="00710201"/>
    <w:rsid w:val="00712B91"/>
    <w:rsid w:val="00717E7F"/>
    <w:rsid w:val="0072073A"/>
    <w:rsid w:val="007210E9"/>
    <w:rsid w:val="00722F2D"/>
    <w:rsid w:val="007271A3"/>
    <w:rsid w:val="007342B5"/>
    <w:rsid w:val="00734A5B"/>
    <w:rsid w:val="00744E76"/>
    <w:rsid w:val="00757D40"/>
    <w:rsid w:val="007662B5"/>
    <w:rsid w:val="00772C34"/>
    <w:rsid w:val="00781F0F"/>
    <w:rsid w:val="00782E7C"/>
    <w:rsid w:val="0078727C"/>
    <w:rsid w:val="0079049D"/>
    <w:rsid w:val="00793DC5"/>
    <w:rsid w:val="007B18D8"/>
    <w:rsid w:val="007C095F"/>
    <w:rsid w:val="007C2DD0"/>
    <w:rsid w:val="007C3B6B"/>
    <w:rsid w:val="007D0AAA"/>
    <w:rsid w:val="007F2E08"/>
    <w:rsid w:val="007F4590"/>
    <w:rsid w:val="007F5E00"/>
    <w:rsid w:val="008028A4"/>
    <w:rsid w:val="008071F8"/>
    <w:rsid w:val="0081155B"/>
    <w:rsid w:val="00812C09"/>
    <w:rsid w:val="00813245"/>
    <w:rsid w:val="00833277"/>
    <w:rsid w:val="00840DE0"/>
    <w:rsid w:val="0086354A"/>
    <w:rsid w:val="008768CA"/>
    <w:rsid w:val="00877EF9"/>
    <w:rsid w:val="00880559"/>
    <w:rsid w:val="008830BB"/>
    <w:rsid w:val="008B5306"/>
    <w:rsid w:val="008C2E2A"/>
    <w:rsid w:val="008C3057"/>
    <w:rsid w:val="008D2E4D"/>
    <w:rsid w:val="008F396F"/>
    <w:rsid w:val="008F3DCD"/>
    <w:rsid w:val="0090271F"/>
    <w:rsid w:val="00902DB9"/>
    <w:rsid w:val="0090466A"/>
    <w:rsid w:val="00923655"/>
    <w:rsid w:val="00933F99"/>
    <w:rsid w:val="00936071"/>
    <w:rsid w:val="00936ED9"/>
    <w:rsid w:val="009376CD"/>
    <w:rsid w:val="00940212"/>
    <w:rsid w:val="00941E44"/>
    <w:rsid w:val="00942EC2"/>
    <w:rsid w:val="009459FF"/>
    <w:rsid w:val="00950237"/>
    <w:rsid w:val="00956A32"/>
    <w:rsid w:val="00961B32"/>
    <w:rsid w:val="00962509"/>
    <w:rsid w:val="00966189"/>
    <w:rsid w:val="00970DB3"/>
    <w:rsid w:val="00971768"/>
    <w:rsid w:val="00974BB0"/>
    <w:rsid w:val="00975BCD"/>
    <w:rsid w:val="009928A9"/>
    <w:rsid w:val="00997B86"/>
    <w:rsid w:val="009A0AF3"/>
    <w:rsid w:val="009A3868"/>
    <w:rsid w:val="009B07CD"/>
    <w:rsid w:val="009C19E9"/>
    <w:rsid w:val="009D74A6"/>
    <w:rsid w:val="009E022B"/>
    <w:rsid w:val="009E0E87"/>
    <w:rsid w:val="009E698F"/>
    <w:rsid w:val="00A023F7"/>
    <w:rsid w:val="00A04D08"/>
    <w:rsid w:val="00A10F02"/>
    <w:rsid w:val="00A17D06"/>
    <w:rsid w:val="00A204CA"/>
    <w:rsid w:val="00A209D6"/>
    <w:rsid w:val="00A22738"/>
    <w:rsid w:val="00A31E7E"/>
    <w:rsid w:val="00A36131"/>
    <w:rsid w:val="00A37A1E"/>
    <w:rsid w:val="00A468CF"/>
    <w:rsid w:val="00A507F7"/>
    <w:rsid w:val="00A53724"/>
    <w:rsid w:val="00A54678"/>
    <w:rsid w:val="00A54B2B"/>
    <w:rsid w:val="00A80A66"/>
    <w:rsid w:val="00A82346"/>
    <w:rsid w:val="00A9671C"/>
    <w:rsid w:val="00A97C5C"/>
    <w:rsid w:val="00AA1553"/>
    <w:rsid w:val="00AB3B1D"/>
    <w:rsid w:val="00AB6C49"/>
    <w:rsid w:val="00AB7C01"/>
    <w:rsid w:val="00AC3615"/>
    <w:rsid w:val="00AC3834"/>
    <w:rsid w:val="00AC6100"/>
    <w:rsid w:val="00AD0180"/>
    <w:rsid w:val="00AF5941"/>
    <w:rsid w:val="00B05380"/>
    <w:rsid w:val="00B05962"/>
    <w:rsid w:val="00B07713"/>
    <w:rsid w:val="00B10BEB"/>
    <w:rsid w:val="00B15449"/>
    <w:rsid w:val="00B16C2F"/>
    <w:rsid w:val="00B27303"/>
    <w:rsid w:val="00B302AE"/>
    <w:rsid w:val="00B47FD1"/>
    <w:rsid w:val="00B516BB"/>
    <w:rsid w:val="00B84DB2"/>
    <w:rsid w:val="00B86104"/>
    <w:rsid w:val="00B9203A"/>
    <w:rsid w:val="00B964AA"/>
    <w:rsid w:val="00BB235F"/>
    <w:rsid w:val="00BC3555"/>
    <w:rsid w:val="00BF0BB3"/>
    <w:rsid w:val="00BF63CD"/>
    <w:rsid w:val="00BF7D05"/>
    <w:rsid w:val="00C12B51"/>
    <w:rsid w:val="00C1759F"/>
    <w:rsid w:val="00C24650"/>
    <w:rsid w:val="00C25465"/>
    <w:rsid w:val="00C314EA"/>
    <w:rsid w:val="00C33079"/>
    <w:rsid w:val="00C41C87"/>
    <w:rsid w:val="00C45B45"/>
    <w:rsid w:val="00C61002"/>
    <w:rsid w:val="00C6553E"/>
    <w:rsid w:val="00C8261A"/>
    <w:rsid w:val="00C83A13"/>
    <w:rsid w:val="00C9068C"/>
    <w:rsid w:val="00C92967"/>
    <w:rsid w:val="00C95EB0"/>
    <w:rsid w:val="00CA2105"/>
    <w:rsid w:val="00CA2678"/>
    <w:rsid w:val="00CA3D0C"/>
    <w:rsid w:val="00CA654B"/>
    <w:rsid w:val="00CB72B8"/>
    <w:rsid w:val="00CC4BEA"/>
    <w:rsid w:val="00CD051A"/>
    <w:rsid w:val="00CD348F"/>
    <w:rsid w:val="00CD4C7B"/>
    <w:rsid w:val="00CD58FE"/>
    <w:rsid w:val="00CD6C52"/>
    <w:rsid w:val="00CE561C"/>
    <w:rsid w:val="00CF56B4"/>
    <w:rsid w:val="00D11E8E"/>
    <w:rsid w:val="00D21597"/>
    <w:rsid w:val="00D33BE3"/>
    <w:rsid w:val="00D3792D"/>
    <w:rsid w:val="00D51098"/>
    <w:rsid w:val="00D5109E"/>
    <w:rsid w:val="00D55D57"/>
    <w:rsid w:val="00D55E47"/>
    <w:rsid w:val="00D62E19"/>
    <w:rsid w:val="00D67CD1"/>
    <w:rsid w:val="00D711D5"/>
    <w:rsid w:val="00D738D6"/>
    <w:rsid w:val="00D80795"/>
    <w:rsid w:val="00D83414"/>
    <w:rsid w:val="00D854BE"/>
    <w:rsid w:val="00D87E00"/>
    <w:rsid w:val="00D90DFD"/>
    <w:rsid w:val="00D9134D"/>
    <w:rsid w:val="00D96D11"/>
    <w:rsid w:val="00D96DBB"/>
    <w:rsid w:val="00D97B7C"/>
    <w:rsid w:val="00DA140C"/>
    <w:rsid w:val="00DA1DA4"/>
    <w:rsid w:val="00DA5CFC"/>
    <w:rsid w:val="00DA7A03"/>
    <w:rsid w:val="00DB0DB8"/>
    <w:rsid w:val="00DB1818"/>
    <w:rsid w:val="00DC309B"/>
    <w:rsid w:val="00DC4DA2"/>
    <w:rsid w:val="00DC5261"/>
    <w:rsid w:val="00DD26F2"/>
    <w:rsid w:val="00DD3689"/>
    <w:rsid w:val="00DE25D2"/>
    <w:rsid w:val="00DF1CA4"/>
    <w:rsid w:val="00E04CDA"/>
    <w:rsid w:val="00E20916"/>
    <w:rsid w:val="00E31AAB"/>
    <w:rsid w:val="00E364F2"/>
    <w:rsid w:val="00E46C08"/>
    <w:rsid w:val="00E471CF"/>
    <w:rsid w:val="00E50CE1"/>
    <w:rsid w:val="00E557F8"/>
    <w:rsid w:val="00E62835"/>
    <w:rsid w:val="00E6648B"/>
    <w:rsid w:val="00E77645"/>
    <w:rsid w:val="00E777BE"/>
    <w:rsid w:val="00E83697"/>
    <w:rsid w:val="00EA2407"/>
    <w:rsid w:val="00EA66C9"/>
    <w:rsid w:val="00EC14DF"/>
    <w:rsid w:val="00EC4A25"/>
    <w:rsid w:val="00ED7B19"/>
    <w:rsid w:val="00EF49F0"/>
    <w:rsid w:val="00EF612C"/>
    <w:rsid w:val="00F025A2"/>
    <w:rsid w:val="00F036E9"/>
    <w:rsid w:val="00F06F2F"/>
    <w:rsid w:val="00F07388"/>
    <w:rsid w:val="00F16F66"/>
    <w:rsid w:val="00F176E0"/>
    <w:rsid w:val="00F2026E"/>
    <w:rsid w:val="00F2210A"/>
    <w:rsid w:val="00F35FD9"/>
    <w:rsid w:val="00F362BC"/>
    <w:rsid w:val="00F37236"/>
    <w:rsid w:val="00F37743"/>
    <w:rsid w:val="00F44A2B"/>
    <w:rsid w:val="00F54A3D"/>
    <w:rsid w:val="00F54CB0"/>
    <w:rsid w:val="00F579CD"/>
    <w:rsid w:val="00F624FB"/>
    <w:rsid w:val="00F63E0F"/>
    <w:rsid w:val="00F653B8"/>
    <w:rsid w:val="00F71B89"/>
    <w:rsid w:val="00F7353C"/>
    <w:rsid w:val="00F74C20"/>
    <w:rsid w:val="00F74EA7"/>
    <w:rsid w:val="00F76F8F"/>
    <w:rsid w:val="00F77D06"/>
    <w:rsid w:val="00F941DF"/>
    <w:rsid w:val="00FA1266"/>
    <w:rsid w:val="00FB36FA"/>
    <w:rsid w:val="00FB695B"/>
    <w:rsid w:val="00FC1192"/>
    <w:rsid w:val="00FC7EBD"/>
    <w:rsid w:val="00FD1256"/>
    <w:rsid w:val="00FD3D73"/>
    <w:rsid w:val="00FD6121"/>
    <w:rsid w:val="00FE05EC"/>
    <w:rsid w:val="00FE100C"/>
    <w:rsid w:val="00FE251B"/>
    <w:rsid w:val="00FE3702"/>
    <w:rsid w:val="26F79CAB"/>
    <w:rsid w:val="31032F0B"/>
    <w:rsid w:val="4E2705E6"/>
    <w:rsid w:val="581EB3D7"/>
    <w:rsid w:val="60949DD8"/>
    <w:rsid w:val="7447DBD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276B1E0B-9121-4267-B6BE-48A11BC90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C4BEA"/>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9502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950237"/>
    <w:pPr>
      <w:spacing w:after="0"/>
    </w:pPr>
    <w:rPr>
      <w:sz w:val="24"/>
      <w:szCs w:val="24"/>
      <w:lang w:val="en-US" w:eastAsia="zh-CN"/>
    </w:rPr>
  </w:style>
  <w:style w:type="character" w:customStyle="1" w:styleId="normaltextrun1">
    <w:name w:val="normaltextrun1"/>
    <w:basedOn w:val="DefaultParagraphFont"/>
    <w:rsid w:val="00950237"/>
  </w:style>
  <w:style w:type="character" w:customStyle="1" w:styleId="eop">
    <w:name w:val="eop"/>
    <w:basedOn w:val="DefaultParagraphFont"/>
    <w:rsid w:val="00950237"/>
  </w:style>
  <w:style w:type="character" w:customStyle="1" w:styleId="Heading2Char">
    <w:name w:val="Heading 2 Char"/>
    <w:basedOn w:val="DefaultParagraphFont"/>
    <w:link w:val="Heading2"/>
    <w:rsid w:val="00200D2F"/>
    <w:rPr>
      <w:rFonts w:ascii="Arial" w:hAnsi="Arial"/>
      <w:sz w:val="32"/>
      <w:lang w:eastAsia="en-US"/>
    </w:rPr>
  </w:style>
  <w:style w:type="paragraph" w:styleId="ListParagraph">
    <w:name w:val="List Paragraph"/>
    <w:aliases w:val="- Bullets,목록 단락,リスト段落,列出段落,?? ??,?????,????,목록 단,Lista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E20916"/>
    <w:pPr>
      <w:ind w:left="720"/>
      <w:contextualSpacing/>
    </w:pPr>
  </w:style>
  <w:style w:type="character" w:customStyle="1" w:styleId="ListParagraphChar">
    <w:name w:val="List Paragraph Char"/>
    <w:aliases w:val="- Bullets Char,목록 단락 Char,リスト段落 Char,列出段落 Char,?? ?? Char,????? Char,???? Char,목록 단 Char,Lista1 Char,中等深浅网格 1 - 着色 21 Char,列表段落 Char,¥¡¡¡¡ì¬º¥¹¥È¶ÎÂä Char,ÁÐ³ö¶ÎÂä Char,¥ê¥¹¥È¶ÎÂä Char,列表段落1 Char,—ño’i—Ž Char,Paragrafo elenco Char"/>
    <w:link w:val="ListParagraph"/>
    <w:uiPriority w:val="34"/>
    <w:qFormat/>
    <w:locked/>
    <w:rsid w:val="00D90DFD"/>
    <w:rPr>
      <w:lang w:eastAsia="en-US"/>
    </w:rPr>
  </w:style>
  <w:style w:type="paragraph" w:customStyle="1" w:styleId="Doc-text2">
    <w:name w:val="Doc-text2"/>
    <w:basedOn w:val="Normal"/>
    <w:link w:val="Doc-text2Char"/>
    <w:qFormat/>
    <w:rsid w:val="00EC14D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C14DF"/>
    <w:rPr>
      <w:rFonts w:ascii="Arial" w:eastAsia="MS Mincho" w:hAnsi="Arial"/>
      <w:szCs w:val="24"/>
    </w:rPr>
  </w:style>
  <w:style w:type="character" w:styleId="CommentReference">
    <w:name w:val="annotation reference"/>
    <w:basedOn w:val="DefaultParagraphFont"/>
    <w:rsid w:val="0068720A"/>
    <w:rPr>
      <w:sz w:val="16"/>
      <w:szCs w:val="16"/>
    </w:rPr>
  </w:style>
  <w:style w:type="paragraph" w:styleId="CommentText">
    <w:name w:val="annotation text"/>
    <w:basedOn w:val="Normal"/>
    <w:link w:val="CommentTextChar"/>
    <w:rsid w:val="0068720A"/>
  </w:style>
  <w:style w:type="character" w:customStyle="1" w:styleId="CommentTextChar">
    <w:name w:val="Comment Text Char"/>
    <w:basedOn w:val="DefaultParagraphFont"/>
    <w:link w:val="CommentText"/>
    <w:rsid w:val="0068720A"/>
    <w:rPr>
      <w:lang w:eastAsia="en-US"/>
    </w:rPr>
  </w:style>
  <w:style w:type="paragraph" w:styleId="CommentSubject">
    <w:name w:val="annotation subject"/>
    <w:basedOn w:val="CommentText"/>
    <w:next w:val="CommentText"/>
    <w:link w:val="CommentSubjectChar"/>
    <w:rsid w:val="0068720A"/>
    <w:rPr>
      <w:b/>
      <w:bCs/>
    </w:rPr>
  </w:style>
  <w:style w:type="character" w:customStyle="1" w:styleId="CommentSubjectChar">
    <w:name w:val="Comment Subject Char"/>
    <w:basedOn w:val="CommentTextChar"/>
    <w:link w:val="CommentSubject"/>
    <w:rsid w:val="0068720A"/>
    <w:rPr>
      <w:b/>
      <w:bCs/>
      <w:lang w:eastAsia="en-US"/>
    </w:rPr>
  </w:style>
  <w:style w:type="character" w:customStyle="1" w:styleId="ie">
    <w:name w:val="ie"/>
    <w:basedOn w:val="DefaultParagraphFont"/>
    <w:rsid w:val="00687110"/>
  </w:style>
  <w:style w:type="character" w:customStyle="1" w:styleId="TALChar">
    <w:name w:val="TAL Char"/>
    <w:link w:val="TAL"/>
    <w:qFormat/>
    <w:rsid w:val="00DF1CA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3024083">
      <w:bodyDiv w:val="1"/>
      <w:marLeft w:val="0"/>
      <w:marRight w:val="0"/>
      <w:marTop w:val="0"/>
      <w:marBottom w:val="0"/>
      <w:divBdr>
        <w:top w:val="none" w:sz="0" w:space="0" w:color="auto"/>
        <w:left w:val="none" w:sz="0" w:space="0" w:color="auto"/>
        <w:bottom w:val="none" w:sz="0" w:space="0" w:color="auto"/>
        <w:right w:val="none" w:sz="0" w:space="0" w:color="auto"/>
      </w:divBdr>
      <w:divsChild>
        <w:div w:id="1572889237">
          <w:marLeft w:val="0"/>
          <w:marRight w:val="0"/>
          <w:marTop w:val="0"/>
          <w:marBottom w:val="0"/>
          <w:divBdr>
            <w:top w:val="none" w:sz="0" w:space="0" w:color="auto"/>
            <w:left w:val="none" w:sz="0" w:space="0" w:color="auto"/>
            <w:bottom w:val="none" w:sz="0" w:space="0" w:color="auto"/>
            <w:right w:val="none" w:sz="0" w:space="0" w:color="auto"/>
          </w:divBdr>
          <w:divsChild>
            <w:div w:id="183597480">
              <w:marLeft w:val="0"/>
              <w:marRight w:val="0"/>
              <w:marTop w:val="0"/>
              <w:marBottom w:val="0"/>
              <w:divBdr>
                <w:top w:val="none" w:sz="0" w:space="0" w:color="auto"/>
                <w:left w:val="none" w:sz="0" w:space="0" w:color="auto"/>
                <w:bottom w:val="none" w:sz="0" w:space="0" w:color="auto"/>
                <w:right w:val="none" w:sz="0" w:space="0" w:color="auto"/>
              </w:divBdr>
              <w:divsChild>
                <w:div w:id="1309169941">
                  <w:marLeft w:val="0"/>
                  <w:marRight w:val="0"/>
                  <w:marTop w:val="0"/>
                  <w:marBottom w:val="0"/>
                  <w:divBdr>
                    <w:top w:val="none" w:sz="0" w:space="0" w:color="auto"/>
                    <w:left w:val="none" w:sz="0" w:space="0" w:color="auto"/>
                    <w:bottom w:val="none" w:sz="0" w:space="0" w:color="auto"/>
                    <w:right w:val="none" w:sz="0" w:space="0" w:color="auto"/>
                  </w:divBdr>
                  <w:divsChild>
                    <w:div w:id="1180658958">
                      <w:marLeft w:val="0"/>
                      <w:marRight w:val="0"/>
                      <w:marTop w:val="0"/>
                      <w:marBottom w:val="0"/>
                      <w:divBdr>
                        <w:top w:val="none" w:sz="0" w:space="0" w:color="auto"/>
                        <w:left w:val="none" w:sz="0" w:space="0" w:color="auto"/>
                        <w:bottom w:val="none" w:sz="0" w:space="0" w:color="auto"/>
                        <w:right w:val="none" w:sz="0" w:space="0" w:color="auto"/>
                      </w:divBdr>
                      <w:divsChild>
                        <w:div w:id="725954021">
                          <w:marLeft w:val="0"/>
                          <w:marRight w:val="0"/>
                          <w:marTop w:val="0"/>
                          <w:marBottom w:val="0"/>
                          <w:divBdr>
                            <w:top w:val="none" w:sz="0" w:space="0" w:color="auto"/>
                            <w:left w:val="none" w:sz="0" w:space="0" w:color="auto"/>
                            <w:bottom w:val="none" w:sz="0" w:space="0" w:color="auto"/>
                            <w:right w:val="none" w:sz="0" w:space="0" w:color="auto"/>
                          </w:divBdr>
                          <w:divsChild>
                            <w:div w:id="1914316213">
                              <w:marLeft w:val="0"/>
                              <w:marRight w:val="0"/>
                              <w:marTop w:val="0"/>
                              <w:marBottom w:val="0"/>
                              <w:divBdr>
                                <w:top w:val="none" w:sz="0" w:space="0" w:color="auto"/>
                                <w:left w:val="none" w:sz="0" w:space="0" w:color="auto"/>
                                <w:bottom w:val="none" w:sz="0" w:space="0" w:color="auto"/>
                                <w:right w:val="none" w:sz="0" w:space="0" w:color="auto"/>
                              </w:divBdr>
                              <w:divsChild>
                                <w:div w:id="1192106916">
                                  <w:marLeft w:val="0"/>
                                  <w:marRight w:val="0"/>
                                  <w:marTop w:val="0"/>
                                  <w:marBottom w:val="0"/>
                                  <w:divBdr>
                                    <w:top w:val="none" w:sz="0" w:space="0" w:color="auto"/>
                                    <w:left w:val="none" w:sz="0" w:space="0" w:color="auto"/>
                                    <w:bottom w:val="none" w:sz="0" w:space="0" w:color="auto"/>
                                    <w:right w:val="none" w:sz="0" w:space="0" w:color="auto"/>
                                  </w:divBdr>
                                  <w:divsChild>
                                    <w:div w:id="1750497253">
                                      <w:marLeft w:val="0"/>
                                      <w:marRight w:val="0"/>
                                      <w:marTop w:val="0"/>
                                      <w:marBottom w:val="0"/>
                                      <w:divBdr>
                                        <w:top w:val="none" w:sz="0" w:space="0" w:color="auto"/>
                                        <w:left w:val="none" w:sz="0" w:space="0" w:color="auto"/>
                                        <w:bottom w:val="none" w:sz="0" w:space="0" w:color="auto"/>
                                        <w:right w:val="none" w:sz="0" w:space="0" w:color="auto"/>
                                      </w:divBdr>
                                      <w:divsChild>
                                        <w:div w:id="395321532">
                                          <w:marLeft w:val="0"/>
                                          <w:marRight w:val="0"/>
                                          <w:marTop w:val="0"/>
                                          <w:marBottom w:val="0"/>
                                          <w:divBdr>
                                            <w:top w:val="none" w:sz="0" w:space="0" w:color="auto"/>
                                            <w:left w:val="none" w:sz="0" w:space="0" w:color="auto"/>
                                            <w:bottom w:val="none" w:sz="0" w:space="0" w:color="auto"/>
                                            <w:right w:val="none" w:sz="0" w:space="0" w:color="auto"/>
                                          </w:divBdr>
                                          <w:divsChild>
                                            <w:div w:id="1018850666">
                                              <w:marLeft w:val="0"/>
                                              <w:marRight w:val="0"/>
                                              <w:marTop w:val="0"/>
                                              <w:marBottom w:val="0"/>
                                              <w:divBdr>
                                                <w:top w:val="none" w:sz="0" w:space="0" w:color="auto"/>
                                                <w:left w:val="none" w:sz="0" w:space="0" w:color="auto"/>
                                                <w:bottom w:val="none" w:sz="0" w:space="0" w:color="auto"/>
                                                <w:right w:val="none" w:sz="0" w:space="0" w:color="auto"/>
                                              </w:divBdr>
                                              <w:divsChild>
                                                <w:div w:id="297148977">
                                                  <w:marLeft w:val="0"/>
                                                  <w:marRight w:val="0"/>
                                                  <w:marTop w:val="0"/>
                                                  <w:marBottom w:val="330"/>
                                                  <w:divBdr>
                                                    <w:top w:val="none" w:sz="0" w:space="0" w:color="auto"/>
                                                    <w:left w:val="none" w:sz="0" w:space="0" w:color="auto"/>
                                                    <w:bottom w:val="none" w:sz="0" w:space="0" w:color="auto"/>
                                                    <w:right w:val="none" w:sz="0" w:space="0" w:color="auto"/>
                                                  </w:divBdr>
                                                  <w:divsChild>
                                                    <w:div w:id="549532202">
                                                      <w:marLeft w:val="0"/>
                                                      <w:marRight w:val="0"/>
                                                      <w:marTop w:val="0"/>
                                                      <w:marBottom w:val="0"/>
                                                      <w:divBdr>
                                                        <w:top w:val="none" w:sz="0" w:space="0" w:color="auto"/>
                                                        <w:left w:val="none" w:sz="0" w:space="0" w:color="auto"/>
                                                        <w:bottom w:val="none" w:sz="0" w:space="0" w:color="auto"/>
                                                        <w:right w:val="none" w:sz="0" w:space="0" w:color="auto"/>
                                                      </w:divBdr>
                                                      <w:divsChild>
                                                        <w:div w:id="763383981">
                                                          <w:marLeft w:val="0"/>
                                                          <w:marRight w:val="0"/>
                                                          <w:marTop w:val="0"/>
                                                          <w:marBottom w:val="0"/>
                                                          <w:divBdr>
                                                            <w:top w:val="single" w:sz="6" w:space="0" w:color="ABABAB"/>
                                                            <w:left w:val="single" w:sz="6" w:space="0" w:color="ABABAB"/>
                                                            <w:bottom w:val="single" w:sz="6" w:space="0" w:color="ABABAB"/>
                                                            <w:right w:val="single" w:sz="6" w:space="0" w:color="ABABAB"/>
                                                          </w:divBdr>
                                                          <w:divsChild>
                                                            <w:div w:id="87579128">
                                                              <w:marLeft w:val="0"/>
                                                              <w:marRight w:val="0"/>
                                                              <w:marTop w:val="0"/>
                                                              <w:marBottom w:val="0"/>
                                                              <w:divBdr>
                                                                <w:top w:val="none" w:sz="0" w:space="0" w:color="auto"/>
                                                                <w:left w:val="none" w:sz="0" w:space="0" w:color="auto"/>
                                                                <w:bottom w:val="none" w:sz="0" w:space="0" w:color="auto"/>
                                                                <w:right w:val="none" w:sz="0" w:space="0" w:color="auto"/>
                                                              </w:divBdr>
                                                              <w:divsChild>
                                                                <w:div w:id="1870292636">
                                                                  <w:marLeft w:val="0"/>
                                                                  <w:marRight w:val="0"/>
                                                                  <w:marTop w:val="0"/>
                                                                  <w:marBottom w:val="0"/>
                                                                  <w:divBdr>
                                                                    <w:top w:val="none" w:sz="0" w:space="0" w:color="auto"/>
                                                                    <w:left w:val="none" w:sz="0" w:space="0" w:color="auto"/>
                                                                    <w:bottom w:val="none" w:sz="0" w:space="0" w:color="auto"/>
                                                                    <w:right w:val="none" w:sz="0" w:space="0" w:color="auto"/>
                                                                  </w:divBdr>
                                                                  <w:divsChild>
                                                                    <w:div w:id="1325472599">
                                                                      <w:marLeft w:val="0"/>
                                                                      <w:marRight w:val="0"/>
                                                                      <w:marTop w:val="0"/>
                                                                      <w:marBottom w:val="0"/>
                                                                      <w:divBdr>
                                                                        <w:top w:val="none" w:sz="0" w:space="0" w:color="auto"/>
                                                                        <w:left w:val="none" w:sz="0" w:space="0" w:color="auto"/>
                                                                        <w:bottom w:val="none" w:sz="0" w:space="0" w:color="auto"/>
                                                                        <w:right w:val="none" w:sz="0" w:space="0" w:color="auto"/>
                                                                      </w:divBdr>
                                                                      <w:divsChild>
                                                                        <w:div w:id="1656911292">
                                                                          <w:marLeft w:val="0"/>
                                                                          <w:marRight w:val="0"/>
                                                                          <w:marTop w:val="0"/>
                                                                          <w:marBottom w:val="0"/>
                                                                          <w:divBdr>
                                                                            <w:top w:val="none" w:sz="0" w:space="0" w:color="auto"/>
                                                                            <w:left w:val="none" w:sz="0" w:space="0" w:color="auto"/>
                                                                            <w:bottom w:val="none" w:sz="0" w:space="0" w:color="auto"/>
                                                                            <w:right w:val="none" w:sz="0" w:space="0" w:color="auto"/>
                                                                          </w:divBdr>
                                                                          <w:divsChild>
                                                                            <w:div w:id="569996165">
                                                                              <w:marLeft w:val="0"/>
                                                                              <w:marRight w:val="0"/>
                                                                              <w:marTop w:val="0"/>
                                                                              <w:marBottom w:val="0"/>
                                                                              <w:divBdr>
                                                                                <w:top w:val="none" w:sz="0" w:space="0" w:color="auto"/>
                                                                                <w:left w:val="none" w:sz="0" w:space="0" w:color="auto"/>
                                                                                <w:bottom w:val="none" w:sz="0" w:space="0" w:color="auto"/>
                                                                                <w:right w:val="none" w:sz="0" w:space="0" w:color="auto"/>
                                                                              </w:divBdr>
                                                                              <w:divsChild>
                                                                                <w:div w:id="123081583">
                                                                                  <w:marLeft w:val="0"/>
                                                                                  <w:marRight w:val="0"/>
                                                                                  <w:marTop w:val="0"/>
                                                                                  <w:marBottom w:val="0"/>
                                                                                  <w:divBdr>
                                                                                    <w:top w:val="none" w:sz="0" w:space="0" w:color="auto"/>
                                                                                    <w:left w:val="none" w:sz="0" w:space="0" w:color="auto"/>
                                                                                    <w:bottom w:val="none" w:sz="0" w:space="0" w:color="auto"/>
                                                                                    <w:right w:val="none" w:sz="0" w:space="0" w:color="auto"/>
                                                                                  </w:divBdr>
                                                                                  <w:divsChild>
                                                                                    <w:div w:id="226038355">
                                                                                      <w:marLeft w:val="0"/>
                                                                                      <w:marRight w:val="0"/>
                                                                                      <w:marTop w:val="0"/>
                                                                                      <w:marBottom w:val="0"/>
                                                                                      <w:divBdr>
                                                                                        <w:top w:val="none" w:sz="0" w:space="0" w:color="auto"/>
                                                                                        <w:left w:val="none" w:sz="0" w:space="0" w:color="auto"/>
                                                                                        <w:bottom w:val="none" w:sz="0" w:space="0" w:color="auto"/>
                                                                                        <w:right w:val="none" w:sz="0" w:space="0" w:color="auto"/>
                                                                                      </w:divBdr>
                                                                                    </w:div>
                                                                                    <w:div w:id="22997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0677623">
      <w:bodyDiv w:val="1"/>
      <w:marLeft w:val="0"/>
      <w:marRight w:val="0"/>
      <w:marTop w:val="0"/>
      <w:marBottom w:val="0"/>
      <w:divBdr>
        <w:top w:val="none" w:sz="0" w:space="0" w:color="auto"/>
        <w:left w:val="none" w:sz="0" w:space="0" w:color="auto"/>
        <w:bottom w:val="none" w:sz="0" w:space="0" w:color="auto"/>
        <w:right w:val="none" w:sz="0" w:space="0" w:color="auto"/>
      </w:divBdr>
    </w:div>
    <w:div w:id="629408470">
      <w:bodyDiv w:val="1"/>
      <w:marLeft w:val="0"/>
      <w:marRight w:val="0"/>
      <w:marTop w:val="0"/>
      <w:marBottom w:val="0"/>
      <w:divBdr>
        <w:top w:val="none" w:sz="0" w:space="0" w:color="auto"/>
        <w:left w:val="none" w:sz="0" w:space="0" w:color="auto"/>
        <w:bottom w:val="none" w:sz="0" w:space="0" w:color="auto"/>
        <w:right w:val="none" w:sz="0" w:space="0" w:color="auto"/>
      </w:divBdr>
      <w:divsChild>
        <w:div w:id="2058163209">
          <w:marLeft w:val="446"/>
          <w:marRight w:val="0"/>
          <w:marTop w:val="0"/>
          <w:marBottom w:val="12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38086555">
      <w:bodyDiv w:val="1"/>
      <w:marLeft w:val="0"/>
      <w:marRight w:val="0"/>
      <w:marTop w:val="0"/>
      <w:marBottom w:val="0"/>
      <w:divBdr>
        <w:top w:val="none" w:sz="0" w:space="0" w:color="auto"/>
        <w:left w:val="none" w:sz="0" w:space="0" w:color="auto"/>
        <w:bottom w:val="none" w:sz="0" w:space="0" w:color="auto"/>
        <w:right w:val="none" w:sz="0" w:space="0" w:color="auto"/>
      </w:divBdr>
      <w:divsChild>
        <w:div w:id="20278733">
          <w:marLeft w:val="1181"/>
          <w:marRight w:val="0"/>
          <w:marTop w:val="0"/>
          <w:marBottom w:val="120"/>
          <w:divBdr>
            <w:top w:val="none" w:sz="0" w:space="0" w:color="auto"/>
            <w:left w:val="none" w:sz="0" w:space="0" w:color="auto"/>
            <w:bottom w:val="none" w:sz="0" w:space="0" w:color="auto"/>
            <w:right w:val="none" w:sz="0" w:space="0" w:color="auto"/>
          </w:divBdr>
        </w:div>
        <w:div w:id="272633271">
          <w:marLeft w:val="1181"/>
          <w:marRight w:val="0"/>
          <w:marTop w:val="0"/>
          <w:marBottom w:val="120"/>
          <w:divBdr>
            <w:top w:val="none" w:sz="0" w:space="0" w:color="auto"/>
            <w:left w:val="none" w:sz="0" w:space="0" w:color="auto"/>
            <w:bottom w:val="none" w:sz="0" w:space="0" w:color="auto"/>
            <w:right w:val="none" w:sz="0" w:space="0" w:color="auto"/>
          </w:divBdr>
        </w:div>
        <w:div w:id="412167369">
          <w:marLeft w:val="1181"/>
          <w:marRight w:val="0"/>
          <w:marTop w:val="0"/>
          <w:marBottom w:val="120"/>
          <w:divBdr>
            <w:top w:val="none" w:sz="0" w:space="0" w:color="auto"/>
            <w:left w:val="none" w:sz="0" w:space="0" w:color="auto"/>
            <w:bottom w:val="none" w:sz="0" w:space="0" w:color="auto"/>
            <w:right w:val="none" w:sz="0" w:space="0" w:color="auto"/>
          </w:divBdr>
        </w:div>
        <w:div w:id="849414630">
          <w:marLeft w:val="1181"/>
          <w:marRight w:val="0"/>
          <w:marTop w:val="0"/>
          <w:marBottom w:val="120"/>
          <w:divBdr>
            <w:top w:val="none" w:sz="0" w:space="0" w:color="auto"/>
            <w:left w:val="none" w:sz="0" w:space="0" w:color="auto"/>
            <w:bottom w:val="none" w:sz="0" w:space="0" w:color="auto"/>
            <w:right w:val="none" w:sz="0" w:space="0" w:color="auto"/>
          </w:divBdr>
        </w:div>
        <w:div w:id="852957656">
          <w:marLeft w:val="806"/>
          <w:marRight w:val="0"/>
          <w:marTop w:val="0"/>
          <w:marBottom w:val="120"/>
          <w:divBdr>
            <w:top w:val="none" w:sz="0" w:space="0" w:color="auto"/>
            <w:left w:val="none" w:sz="0" w:space="0" w:color="auto"/>
            <w:bottom w:val="none" w:sz="0" w:space="0" w:color="auto"/>
            <w:right w:val="none" w:sz="0" w:space="0" w:color="auto"/>
          </w:divBdr>
        </w:div>
        <w:div w:id="2108187821">
          <w:marLeft w:val="806"/>
          <w:marRight w:val="0"/>
          <w:marTop w:val="0"/>
          <w:marBottom w:val="120"/>
          <w:divBdr>
            <w:top w:val="none" w:sz="0" w:space="0" w:color="auto"/>
            <w:left w:val="none" w:sz="0" w:space="0" w:color="auto"/>
            <w:bottom w:val="none" w:sz="0" w:space="0" w:color="auto"/>
            <w:right w:val="none" w:sz="0" w:space="0" w:color="auto"/>
          </w:divBdr>
        </w:div>
      </w:divsChild>
    </w:div>
    <w:div w:id="1764643894">
      <w:bodyDiv w:val="1"/>
      <w:marLeft w:val="0"/>
      <w:marRight w:val="0"/>
      <w:marTop w:val="0"/>
      <w:marBottom w:val="0"/>
      <w:divBdr>
        <w:top w:val="none" w:sz="0" w:space="0" w:color="auto"/>
        <w:left w:val="none" w:sz="0" w:space="0" w:color="auto"/>
        <w:bottom w:val="none" w:sz="0" w:space="0" w:color="auto"/>
        <w:right w:val="none" w:sz="0" w:space="0" w:color="auto"/>
      </w:divBdr>
      <w:divsChild>
        <w:div w:id="72701693">
          <w:marLeft w:val="187"/>
          <w:marRight w:val="0"/>
          <w:marTop w:val="0"/>
          <w:marBottom w:val="0"/>
          <w:divBdr>
            <w:top w:val="none" w:sz="0" w:space="0" w:color="auto"/>
            <w:left w:val="none" w:sz="0" w:space="0" w:color="auto"/>
            <w:bottom w:val="none" w:sz="0" w:space="0" w:color="auto"/>
            <w:right w:val="none" w:sz="0" w:space="0" w:color="auto"/>
          </w:divBdr>
        </w:div>
        <w:div w:id="75251173">
          <w:marLeft w:val="187"/>
          <w:marRight w:val="0"/>
          <w:marTop w:val="0"/>
          <w:marBottom w:val="0"/>
          <w:divBdr>
            <w:top w:val="none" w:sz="0" w:space="0" w:color="auto"/>
            <w:left w:val="none" w:sz="0" w:space="0" w:color="auto"/>
            <w:bottom w:val="none" w:sz="0" w:space="0" w:color="auto"/>
            <w:right w:val="none" w:sz="0" w:space="0" w:color="auto"/>
          </w:divBdr>
        </w:div>
        <w:div w:id="108744351">
          <w:marLeft w:val="187"/>
          <w:marRight w:val="0"/>
          <w:marTop w:val="0"/>
          <w:marBottom w:val="0"/>
          <w:divBdr>
            <w:top w:val="none" w:sz="0" w:space="0" w:color="auto"/>
            <w:left w:val="none" w:sz="0" w:space="0" w:color="auto"/>
            <w:bottom w:val="none" w:sz="0" w:space="0" w:color="auto"/>
            <w:right w:val="none" w:sz="0" w:space="0" w:color="auto"/>
          </w:divBdr>
        </w:div>
        <w:div w:id="135073007">
          <w:marLeft w:val="187"/>
          <w:marRight w:val="0"/>
          <w:marTop w:val="0"/>
          <w:marBottom w:val="0"/>
          <w:divBdr>
            <w:top w:val="none" w:sz="0" w:space="0" w:color="auto"/>
            <w:left w:val="none" w:sz="0" w:space="0" w:color="auto"/>
            <w:bottom w:val="none" w:sz="0" w:space="0" w:color="auto"/>
            <w:right w:val="none" w:sz="0" w:space="0" w:color="auto"/>
          </w:divBdr>
        </w:div>
        <w:div w:id="140925592">
          <w:marLeft w:val="187"/>
          <w:marRight w:val="0"/>
          <w:marTop w:val="0"/>
          <w:marBottom w:val="0"/>
          <w:divBdr>
            <w:top w:val="none" w:sz="0" w:space="0" w:color="auto"/>
            <w:left w:val="none" w:sz="0" w:space="0" w:color="auto"/>
            <w:bottom w:val="none" w:sz="0" w:space="0" w:color="auto"/>
            <w:right w:val="none" w:sz="0" w:space="0" w:color="auto"/>
          </w:divBdr>
        </w:div>
        <w:div w:id="197279646">
          <w:marLeft w:val="187"/>
          <w:marRight w:val="0"/>
          <w:marTop w:val="0"/>
          <w:marBottom w:val="0"/>
          <w:divBdr>
            <w:top w:val="none" w:sz="0" w:space="0" w:color="auto"/>
            <w:left w:val="none" w:sz="0" w:space="0" w:color="auto"/>
            <w:bottom w:val="none" w:sz="0" w:space="0" w:color="auto"/>
            <w:right w:val="none" w:sz="0" w:space="0" w:color="auto"/>
          </w:divBdr>
        </w:div>
        <w:div w:id="237907148">
          <w:marLeft w:val="187"/>
          <w:marRight w:val="0"/>
          <w:marTop w:val="0"/>
          <w:marBottom w:val="0"/>
          <w:divBdr>
            <w:top w:val="none" w:sz="0" w:space="0" w:color="auto"/>
            <w:left w:val="none" w:sz="0" w:space="0" w:color="auto"/>
            <w:bottom w:val="none" w:sz="0" w:space="0" w:color="auto"/>
            <w:right w:val="none" w:sz="0" w:space="0" w:color="auto"/>
          </w:divBdr>
        </w:div>
        <w:div w:id="292758884">
          <w:marLeft w:val="187"/>
          <w:marRight w:val="0"/>
          <w:marTop w:val="0"/>
          <w:marBottom w:val="0"/>
          <w:divBdr>
            <w:top w:val="none" w:sz="0" w:space="0" w:color="auto"/>
            <w:left w:val="none" w:sz="0" w:space="0" w:color="auto"/>
            <w:bottom w:val="none" w:sz="0" w:space="0" w:color="auto"/>
            <w:right w:val="none" w:sz="0" w:space="0" w:color="auto"/>
          </w:divBdr>
        </w:div>
        <w:div w:id="330646628">
          <w:marLeft w:val="187"/>
          <w:marRight w:val="0"/>
          <w:marTop w:val="0"/>
          <w:marBottom w:val="0"/>
          <w:divBdr>
            <w:top w:val="none" w:sz="0" w:space="0" w:color="auto"/>
            <w:left w:val="none" w:sz="0" w:space="0" w:color="auto"/>
            <w:bottom w:val="none" w:sz="0" w:space="0" w:color="auto"/>
            <w:right w:val="none" w:sz="0" w:space="0" w:color="auto"/>
          </w:divBdr>
        </w:div>
        <w:div w:id="343750955">
          <w:marLeft w:val="187"/>
          <w:marRight w:val="0"/>
          <w:marTop w:val="0"/>
          <w:marBottom w:val="0"/>
          <w:divBdr>
            <w:top w:val="none" w:sz="0" w:space="0" w:color="auto"/>
            <w:left w:val="none" w:sz="0" w:space="0" w:color="auto"/>
            <w:bottom w:val="none" w:sz="0" w:space="0" w:color="auto"/>
            <w:right w:val="none" w:sz="0" w:space="0" w:color="auto"/>
          </w:divBdr>
        </w:div>
        <w:div w:id="413475505">
          <w:marLeft w:val="187"/>
          <w:marRight w:val="0"/>
          <w:marTop w:val="0"/>
          <w:marBottom w:val="0"/>
          <w:divBdr>
            <w:top w:val="none" w:sz="0" w:space="0" w:color="auto"/>
            <w:left w:val="none" w:sz="0" w:space="0" w:color="auto"/>
            <w:bottom w:val="none" w:sz="0" w:space="0" w:color="auto"/>
            <w:right w:val="none" w:sz="0" w:space="0" w:color="auto"/>
          </w:divBdr>
        </w:div>
        <w:div w:id="446049369">
          <w:marLeft w:val="187"/>
          <w:marRight w:val="0"/>
          <w:marTop w:val="0"/>
          <w:marBottom w:val="0"/>
          <w:divBdr>
            <w:top w:val="none" w:sz="0" w:space="0" w:color="auto"/>
            <w:left w:val="none" w:sz="0" w:space="0" w:color="auto"/>
            <w:bottom w:val="none" w:sz="0" w:space="0" w:color="auto"/>
            <w:right w:val="none" w:sz="0" w:space="0" w:color="auto"/>
          </w:divBdr>
        </w:div>
        <w:div w:id="459617494">
          <w:marLeft w:val="187"/>
          <w:marRight w:val="0"/>
          <w:marTop w:val="0"/>
          <w:marBottom w:val="0"/>
          <w:divBdr>
            <w:top w:val="none" w:sz="0" w:space="0" w:color="auto"/>
            <w:left w:val="none" w:sz="0" w:space="0" w:color="auto"/>
            <w:bottom w:val="none" w:sz="0" w:space="0" w:color="auto"/>
            <w:right w:val="none" w:sz="0" w:space="0" w:color="auto"/>
          </w:divBdr>
        </w:div>
        <w:div w:id="511650697">
          <w:marLeft w:val="187"/>
          <w:marRight w:val="0"/>
          <w:marTop w:val="0"/>
          <w:marBottom w:val="0"/>
          <w:divBdr>
            <w:top w:val="none" w:sz="0" w:space="0" w:color="auto"/>
            <w:left w:val="none" w:sz="0" w:space="0" w:color="auto"/>
            <w:bottom w:val="none" w:sz="0" w:space="0" w:color="auto"/>
            <w:right w:val="none" w:sz="0" w:space="0" w:color="auto"/>
          </w:divBdr>
        </w:div>
        <w:div w:id="547035888">
          <w:marLeft w:val="187"/>
          <w:marRight w:val="0"/>
          <w:marTop w:val="0"/>
          <w:marBottom w:val="0"/>
          <w:divBdr>
            <w:top w:val="none" w:sz="0" w:space="0" w:color="auto"/>
            <w:left w:val="none" w:sz="0" w:space="0" w:color="auto"/>
            <w:bottom w:val="none" w:sz="0" w:space="0" w:color="auto"/>
            <w:right w:val="none" w:sz="0" w:space="0" w:color="auto"/>
          </w:divBdr>
        </w:div>
        <w:div w:id="680788571">
          <w:marLeft w:val="187"/>
          <w:marRight w:val="0"/>
          <w:marTop w:val="0"/>
          <w:marBottom w:val="0"/>
          <w:divBdr>
            <w:top w:val="none" w:sz="0" w:space="0" w:color="auto"/>
            <w:left w:val="none" w:sz="0" w:space="0" w:color="auto"/>
            <w:bottom w:val="none" w:sz="0" w:space="0" w:color="auto"/>
            <w:right w:val="none" w:sz="0" w:space="0" w:color="auto"/>
          </w:divBdr>
        </w:div>
        <w:div w:id="743796219">
          <w:marLeft w:val="187"/>
          <w:marRight w:val="0"/>
          <w:marTop w:val="0"/>
          <w:marBottom w:val="0"/>
          <w:divBdr>
            <w:top w:val="none" w:sz="0" w:space="0" w:color="auto"/>
            <w:left w:val="none" w:sz="0" w:space="0" w:color="auto"/>
            <w:bottom w:val="none" w:sz="0" w:space="0" w:color="auto"/>
            <w:right w:val="none" w:sz="0" w:space="0" w:color="auto"/>
          </w:divBdr>
        </w:div>
        <w:div w:id="794252034">
          <w:marLeft w:val="187"/>
          <w:marRight w:val="0"/>
          <w:marTop w:val="0"/>
          <w:marBottom w:val="0"/>
          <w:divBdr>
            <w:top w:val="none" w:sz="0" w:space="0" w:color="auto"/>
            <w:left w:val="none" w:sz="0" w:space="0" w:color="auto"/>
            <w:bottom w:val="none" w:sz="0" w:space="0" w:color="auto"/>
            <w:right w:val="none" w:sz="0" w:space="0" w:color="auto"/>
          </w:divBdr>
        </w:div>
        <w:div w:id="821166630">
          <w:marLeft w:val="187"/>
          <w:marRight w:val="0"/>
          <w:marTop w:val="0"/>
          <w:marBottom w:val="0"/>
          <w:divBdr>
            <w:top w:val="none" w:sz="0" w:space="0" w:color="auto"/>
            <w:left w:val="none" w:sz="0" w:space="0" w:color="auto"/>
            <w:bottom w:val="none" w:sz="0" w:space="0" w:color="auto"/>
            <w:right w:val="none" w:sz="0" w:space="0" w:color="auto"/>
          </w:divBdr>
        </w:div>
        <w:div w:id="854883109">
          <w:marLeft w:val="187"/>
          <w:marRight w:val="0"/>
          <w:marTop w:val="0"/>
          <w:marBottom w:val="0"/>
          <w:divBdr>
            <w:top w:val="none" w:sz="0" w:space="0" w:color="auto"/>
            <w:left w:val="none" w:sz="0" w:space="0" w:color="auto"/>
            <w:bottom w:val="none" w:sz="0" w:space="0" w:color="auto"/>
            <w:right w:val="none" w:sz="0" w:space="0" w:color="auto"/>
          </w:divBdr>
        </w:div>
        <w:div w:id="859658413">
          <w:marLeft w:val="187"/>
          <w:marRight w:val="0"/>
          <w:marTop w:val="0"/>
          <w:marBottom w:val="0"/>
          <w:divBdr>
            <w:top w:val="none" w:sz="0" w:space="0" w:color="auto"/>
            <w:left w:val="none" w:sz="0" w:space="0" w:color="auto"/>
            <w:bottom w:val="none" w:sz="0" w:space="0" w:color="auto"/>
            <w:right w:val="none" w:sz="0" w:space="0" w:color="auto"/>
          </w:divBdr>
        </w:div>
        <w:div w:id="986282992">
          <w:marLeft w:val="187"/>
          <w:marRight w:val="0"/>
          <w:marTop w:val="0"/>
          <w:marBottom w:val="0"/>
          <w:divBdr>
            <w:top w:val="none" w:sz="0" w:space="0" w:color="auto"/>
            <w:left w:val="none" w:sz="0" w:space="0" w:color="auto"/>
            <w:bottom w:val="none" w:sz="0" w:space="0" w:color="auto"/>
            <w:right w:val="none" w:sz="0" w:space="0" w:color="auto"/>
          </w:divBdr>
        </w:div>
        <w:div w:id="1007056530">
          <w:marLeft w:val="187"/>
          <w:marRight w:val="0"/>
          <w:marTop w:val="0"/>
          <w:marBottom w:val="0"/>
          <w:divBdr>
            <w:top w:val="none" w:sz="0" w:space="0" w:color="auto"/>
            <w:left w:val="none" w:sz="0" w:space="0" w:color="auto"/>
            <w:bottom w:val="none" w:sz="0" w:space="0" w:color="auto"/>
            <w:right w:val="none" w:sz="0" w:space="0" w:color="auto"/>
          </w:divBdr>
        </w:div>
        <w:div w:id="1009989349">
          <w:marLeft w:val="187"/>
          <w:marRight w:val="0"/>
          <w:marTop w:val="0"/>
          <w:marBottom w:val="0"/>
          <w:divBdr>
            <w:top w:val="none" w:sz="0" w:space="0" w:color="auto"/>
            <w:left w:val="none" w:sz="0" w:space="0" w:color="auto"/>
            <w:bottom w:val="none" w:sz="0" w:space="0" w:color="auto"/>
            <w:right w:val="none" w:sz="0" w:space="0" w:color="auto"/>
          </w:divBdr>
        </w:div>
        <w:div w:id="1113017681">
          <w:marLeft w:val="187"/>
          <w:marRight w:val="0"/>
          <w:marTop w:val="0"/>
          <w:marBottom w:val="0"/>
          <w:divBdr>
            <w:top w:val="none" w:sz="0" w:space="0" w:color="auto"/>
            <w:left w:val="none" w:sz="0" w:space="0" w:color="auto"/>
            <w:bottom w:val="none" w:sz="0" w:space="0" w:color="auto"/>
            <w:right w:val="none" w:sz="0" w:space="0" w:color="auto"/>
          </w:divBdr>
        </w:div>
        <w:div w:id="1116370260">
          <w:marLeft w:val="187"/>
          <w:marRight w:val="0"/>
          <w:marTop w:val="0"/>
          <w:marBottom w:val="0"/>
          <w:divBdr>
            <w:top w:val="none" w:sz="0" w:space="0" w:color="auto"/>
            <w:left w:val="none" w:sz="0" w:space="0" w:color="auto"/>
            <w:bottom w:val="none" w:sz="0" w:space="0" w:color="auto"/>
            <w:right w:val="none" w:sz="0" w:space="0" w:color="auto"/>
          </w:divBdr>
        </w:div>
        <w:div w:id="1129664121">
          <w:marLeft w:val="187"/>
          <w:marRight w:val="0"/>
          <w:marTop w:val="0"/>
          <w:marBottom w:val="0"/>
          <w:divBdr>
            <w:top w:val="none" w:sz="0" w:space="0" w:color="auto"/>
            <w:left w:val="none" w:sz="0" w:space="0" w:color="auto"/>
            <w:bottom w:val="none" w:sz="0" w:space="0" w:color="auto"/>
            <w:right w:val="none" w:sz="0" w:space="0" w:color="auto"/>
          </w:divBdr>
        </w:div>
        <w:div w:id="1167524205">
          <w:marLeft w:val="187"/>
          <w:marRight w:val="0"/>
          <w:marTop w:val="0"/>
          <w:marBottom w:val="0"/>
          <w:divBdr>
            <w:top w:val="none" w:sz="0" w:space="0" w:color="auto"/>
            <w:left w:val="none" w:sz="0" w:space="0" w:color="auto"/>
            <w:bottom w:val="none" w:sz="0" w:space="0" w:color="auto"/>
            <w:right w:val="none" w:sz="0" w:space="0" w:color="auto"/>
          </w:divBdr>
        </w:div>
        <w:div w:id="1172060553">
          <w:marLeft w:val="187"/>
          <w:marRight w:val="0"/>
          <w:marTop w:val="0"/>
          <w:marBottom w:val="0"/>
          <w:divBdr>
            <w:top w:val="none" w:sz="0" w:space="0" w:color="auto"/>
            <w:left w:val="none" w:sz="0" w:space="0" w:color="auto"/>
            <w:bottom w:val="none" w:sz="0" w:space="0" w:color="auto"/>
            <w:right w:val="none" w:sz="0" w:space="0" w:color="auto"/>
          </w:divBdr>
        </w:div>
        <w:div w:id="1234580552">
          <w:marLeft w:val="187"/>
          <w:marRight w:val="0"/>
          <w:marTop w:val="0"/>
          <w:marBottom w:val="0"/>
          <w:divBdr>
            <w:top w:val="none" w:sz="0" w:space="0" w:color="auto"/>
            <w:left w:val="none" w:sz="0" w:space="0" w:color="auto"/>
            <w:bottom w:val="none" w:sz="0" w:space="0" w:color="auto"/>
            <w:right w:val="none" w:sz="0" w:space="0" w:color="auto"/>
          </w:divBdr>
        </w:div>
        <w:div w:id="1269118591">
          <w:marLeft w:val="187"/>
          <w:marRight w:val="0"/>
          <w:marTop w:val="0"/>
          <w:marBottom w:val="0"/>
          <w:divBdr>
            <w:top w:val="none" w:sz="0" w:space="0" w:color="auto"/>
            <w:left w:val="none" w:sz="0" w:space="0" w:color="auto"/>
            <w:bottom w:val="none" w:sz="0" w:space="0" w:color="auto"/>
            <w:right w:val="none" w:sz="0" w:space="0" w:color="auto"/>
          </w:divBdr>
        </w:div>
        <w:div w:id="1340081567">
          <w:marLeft w:val="187"/>
          <w:marRight w:val="0"/>
          <w:marTop w:val="0"/>
          <w:marBottom w:val="0"/>
          <w:divBdr>
            <w:top w:val="none" w:sz="0" w:space="0" w:color="auto"/>
            <w:left w:val="none" w:sz="0" w:space="0" w:color="auto"/>
            <w:bottom w:val="none" w:sz="0" w:space="0" w:color="auto"/>
            <w:right w:val="none" w:sz="0" w:space="0" w:color="auto"/>
          </w:divBdr>
        </w:div>
        <w:div w:id="1341085710">
          <w:marLeft w:val="187"/>
          <w:marRight w:val="0"/>
          <w:marTop w:val="0"/>
          <w:marBottom w:val="0"/>
          <w:divBdr>
            <w:top w:val="none" w:sz="0" w:space="0" w:color="auto"/>
            <w:left w:val="none" w:sz="0" w:space="0" w:color="auto"/>
            <w:bottom w:val="none" w:sz="0" w:space="0" w:color="auto"/>
            <w:right w:val="none" w:sz="0" w:space="0" w:color="auto"/>
          </w:divBdr>
        </w:div>
        <w:div w:id="1371957462">
          <w:marLeft w:val="187"/>
          <w:marRight w:val="0"/>
          <w:marTop w:val="0"/>
          <w:marBottom w:val="0"/>
          <w:divBdr>
            <w:top w:val="none" w:sz="0" w:space="0" w:color="auto"/>
            <w:left w:val="none" w:sz="0" w:space="0" w:color="auto"/>
            <w:bottom w:val="none" w:sz="0" w:space="0" w:color="auto"/>
            <w:right w:val="none" w:sz="0" w:space="0" w:color="auto"/>
          </w:divBdr>
        </w:div>
        <w:div w:id="1389694198">
          <w:marLeft w:val="187"/>
          <w:marRight w:val="0"/>
          <w:marTop w:val="0"/>
          <w:marBottom w:val="0"/>
          <w:divBdr>
            <w:top w:val="none" w:sz="0" w:space="0" w:color="auto"/>
            <w:left w:val="none" w:sz="0" w:space="0" w:color="auto"/>
            <w:bottom w:val="none" w:sz="0" w:space="0" w:color="auto"/>
            <w:right w:val="none" w:sz="0" w:space="0" w:color="auto"/>
          </w:divBdr>
        </w:div>
        <w:div w:id="1404792718">
          <w:marLeft w:val="187"/>
          <w:marRight w:val="0"/>
          <w:marTop w:val="0"/>
          <w:marBottom w:val="0"/>
          <w:divBdr>
            <w:top w:val="none" w:sz="0" w:space="0" w:color="auto"/>
            <w:left w:val="none" w:sz="0" w:space="0" w:color="auto"/>
            <w:bottom w:val="none" w:sz="0" w:space="0" w:color="auto"/>
            <w:right w:val="none" w:sz="0" w:space="0" w:color="auto"/>
          </w:divBdr>
        </w:div>
        <w:div w:id="1431848667">
          <w:marLeft w:val="187"/>
          <w:marRight w:val="0"/>
          <w:marTop w:val="0"/>
          <w:marBottom w:val="0"/>
          <w:divBdr>
            <w:top w:val="none" w:sz="0" w:space="0" w:color="auto"/>
            <w:left w:val="none" w:sz="0" w:space="0" w:color="auto"/>
            <w:bottom w:val="none" w:sz="0" w:space="0" w:color="auto"/>
            <w:right w:val="none" w:sz="0" w:space="0" w:color="auto"/>
          </w:divBdr>
        </w:div>
        <w:div w:id="1455441938">
          <w:marLeft w:val="187"/>
          <w:marRight w:val="0"/>
          <w:marTop w:val="0"/>
          <w:marBottom w:val="0"/>
          <w:divBdr>
            <w:top w:val="none" w:sz="0" w:space="0" w:color="auto"/>
            <w:left w:val="none" w:sz="0" w:space="0" w:color="auto"/>
            <w:bottom w:val="none" w:sz="0" w:space="0" w:color="auto"/>
            <w:right w:val="none" w:sz="0" w:space="0" w:color="auto"/>
          </w:divBdr>
        </w:div>
        <w:div w:id="1469742414">
          <w:marLeft w:val="187"/>
          <w:marRight w:val="0"/>
          <w:marTop w:val="0"/>
          <w:marBottom w:val="0"/>
          <w:divBdr>
            <w:top w:val="none" w:sz="0" w:space="0" w:color="auto"/>
            <w:left w:val="none" w:sz="0" w:space="0" w:color="auto"/>
            <w:bottom w:val="none" w:sz="0" w:space="0" w:color="auto"/>
            <w:right w:val="none" w:sz="0" w:space="0" w:color="auto"/>
          </w:divBdr>
        </w:div>
        <w:div w:id="1516191832">
          <w:marLeft w:val="187"/>
          <w:marRight w:val="0"/>
          <w:marTop w:val="0"/>
          <w:marBottom w:val="0"/>
          <w:divBdr>
            <w:top w:val="none" w:sz="0" w:space="0" w:color="auto"/>
            <w:left w:val="none" w:sz="0" w:space="0" w:color="auto"/>
            <w:bottom w:val="none" w:sz="0" w:space="0" w:color="auto"/>
            <w:right w:val="none" w:sz="0" w:space="0" w:color="auto"/>
          </w:divBdr>
        </w:div>
        <w:div w:id="1522009004">
          <w:marLeft w:val="187"/>
          <w:marRight w:val="0"/>
          <w:marTop w:val="0"/>
          <w:marBottom w:val="0"/>
          <w:divBdr>
            <w:top w:val="none" w:sz="0" w:space="0" w:color="auto"/>
            <w:left w:val="none" w:sz="0" w:space="0" w:color="auto"/>
            <w:bottom w:val="none" w:sz="0" w:space="0" w:color="auto"/>
            <w:right w:val="none" w:sz="0" w:space="0" w:color="auto"/>
          </w:divBdr>
        </w:div>
        <w:div w:id="1523280578">
          <w:marLeft w:val="187"/>
          <w:marRight w:val="0"/>
          <w:marTop w:val="0"/>
          <w:marBottom w:val="0"/>
          <w:divBdr>
            <w:top w:val="none" w:sz="0" w:space="0" w:color="auto"/>
            <w:left w:val="none" w:sz="0" w:space="0" w:color="auto"/>
            <w:bottom w:val="none" w:sz="0" w:space="0" w:color="auto"/>
            <w:right w:val="none" w:sz="0" w:space="0" w:color="auto"/>
          </w:divBdr>
        </w:div>
        <w:div w:id="1548638602">
          <w:marLeft w:val="187"/>
          <w:marRight w:val="0"/>
          <w:marTop w:val="0"/>
          <w:marBottom w:val="0"/>
          <w:divBdr>
            <w:top w:val="none" w:sz="0" w:space="0" w:color="auto"/>
            <w:left w:val="none" w:sz="0" w:space="0" w:color="auto"/>
            <w:bottom w:val="none" w:sz="0" w:space="0" w:color="auto"/>
            <w:right w:val="none" w:sz="0" w:space="0" w:color="auto"/>
          </w:divBdr>
        </w:div>
        <w:div w:id="1579095852">
          <w:marLeft w:val="187"/>
          <w:marRight w:val="0"/>
          <w:marTop w:val="0"/>
          <w:marBottom w:val="0"/>
          <w:divBdr>
            <w:top w:val="none" w:sz="0" w:space="0" w:color="auto"/>
            <w:left w:val="none" w:sz="0" w:space="0" w:color="auto"/>
            <w:bottom w:val="none" w:sz="0" w:space="0" w:color="auto"/>
            <w:right w:val="none" w:sz="0" w:space="0" w:color="auto"/>
          </w:divBdr>
        </w:div>
        <w:div w:id="1597442892">
          <w:marLeft w:val="187"/>
          <w:marRight w:val="0"/>
          <w:marTop w:val="0"/>
          <w:marBottom w:val="0"/>
          <w:divBdr>
            <w:top w:val="none" w:sz="0" w:space="0" w:color="auto"/>
            <w:left w:val="none" w:sz="0" w:space="0" w:color="auto"/>
            <w:bottom w:val="none" w:sz="0" w:space="0" w:color="auto"/>
            <w:right w:val="none" w:sz="0" w:space="0" w:color="auto"/>
          </w:divBdr>
        </w:div>
        <w:div w:id="1597637464">
          <w:marLeft w:val="187"/>
          <w:marRight w:val="0"/>
          <w:marTop w:val="0"/>
          <w:marBottom w:val="0"/>
          <w:divBdr>
            <w:top w:val="none" w:sz="0" w:space="0" w:color="auto"/>
            <w:left w:val="none" w:sz="0" w:space="0" w:color="auto"/>
            <w:bottom w:val="none" w:sz="0" w:space="0" w:color="auto"/>
            <w:right w:val="none" w:sz="0" w:space="0" w:color="auto"/>
          </w:divBdr>
        </w:div>
        <w:div w:id="1612275464">
          <w:marLeft w:val="187"/>
          <w:marRight w:val="0"/>
          <w:marTop w:val="0"/>
          <w:marBottom w:val="0"/>
          <w:divBdr>
            <w:top w:val="none" w:sz="0" w:space="0" w:color="auto"/>
            <w:left w:val="none" w:sz="0" w:space="0" w:color="auto"/>
            <w:bottom w:val="none" w:sz="0" w:space="0" w:color="auto"/>
            <w:right w:val="none" w:sz="0" w:space="0" w:color="auto"/>
          </w:divBdr>
        </w:div>
        <w:div w:id="1696496121">
          <w:marLeft w:val="187"/>
          <w:marRight w:val="0"/>
          <w:marTop w:val="0"/>
          <w:marBottom w:val="0"/>
          <w:divBdr>
            <w:top w:val="none" w:sz="0" w:space="0" w:color="auto"/>
            <w:left w:val="none" w:sz="0" w:space="0" w:color="auto"/>
            <w:bottom w:val="none" w:sz="0" w:space="0" w:color="auto"/>
            <w:right w:val="none" w:sz="0" w:space="0" w:color="auto"/>
          </w:divBdr>
        </w:div>
        <w:div w:id="1699970899">
          <w:marLeft w:val="187"/>
          <w:marRight w:val="0"/>
          <w:marTop w:val="0"/>
          <w:marBottom w:val="0"/>
          <w:divBdr>
            <w:top w:val="none" w:sz="0" w:space="0" w:color="auto"/>
            <w:left w:val="none" w:sz="0" w:space="0" w:color="auto"/>
            <w:bottom w:val="none" w:sz="0" w:space="0" w:color="auto"/>
            <w:right w:val="none" w:sz="0" w:space="0" w:color="auto"/>
          </w:divBdr>
        </w:div>
        <w:div w:id="1714766799">
          <w:marLeft w:val="187"/>
          <w:marRight w:val="0"/>
          <w:marTop w:val="0"/>
          <w:marBottom w:val="0"/>
          <w:divBdr>
            <w:top w:val="none" w:sz="0" w:space="0" w:color="auto"/>
            <w:left w:val="none" w:sz="0" w:space="0" w:color="auto"/>
            <w:bottom w:val="none" w:sz="0" w:space="0" w:color="auto"/>
            <w:right w:val="none" w:sz="0" w:space="0" w:color="auto"/>
          </w:divBdr>
        </w:div>
        <w:div w:id="1722751793">
          <w:marLeft w:val="187"/>
          <w:marRight w:val="0"/>
          <w:marTop w:val="0"/>
          <w:marBottom w:val="0"/>
          <w:divBdr>
            <w:top w:val="none" w:sz="0" w:space="0" w:color="auto"/>
            <w:left w:val="none" w:sz="0" w:space="0" w:color="auto"/>
            <w:bottom w:val="none" w:sz="0" w:space="0" w:color="auto"/>
            <w:right w:val="none" w:sz="0" w:space="0" w:color="auto"/>
          </w:divBdr>
        </w:div>
        <w:div w:id="1738701388">
          <w:marLeft w:val="187"/>
          <w:marRight w:val="0"/>
          <w:marTop w:val="0"/>
          <w:marBottom w:val="0"/>
          <w:divBdr>
            <w:top w:val="none" w:sz="0" w:space="0" w:color="auto"/>
            <w:left w:val="none" w:sz="0" w:space="0" w:color="auto"/>
            <w:bottom w:val="none" w:sz="0" w:space="0" w:color="auto"/>
            <w:right w:val="none" w:sz="0" w:space="0" w:color="auto"/>
          </w:divBdr>
        </w:div>
        <w:div w:id="1767925835">
          <w:marLeft w:val="187"/>
          <w:marRight w:val="0"/>
          <w:marTop w:val="0"/>
          <w:marBottom w:val="0"/>
          <w:divBdr>
            <w:top w:val="none" w:sz="0" w:space="0" w:color="auto"/>
            <w:left w:val="none" w:sz="0" w:space="0" w:color="auto"/>
            <w:bottom w:val="none" w:sz="0" w:space="0" w:color="auto"/>
            <w:right w:val="none" w:sz="0" w:space="0" w:color="auto"/>
          </w:divBdr>
        </w:div>
        <w:div w:id="1813713245">
          <w:marLeft w:val="187"/>
          <w:marRight w:val="0"/>
          <w:marTop w:val="0"/>
          <w:marBottom w:val="0"/>
          <w:divBdr>
            <w:top w:val="none" w:sz="0" w:space="0" w:color="auto"/>
            <w:left w:val="none" w:sz="0" w:space="0" w:color="auto"/>
            <w:bottom w:val="none" w:sz="0" w:space="0" w:color="auto"/>
            <w:right w:val="none" w:sz="0" w:space="0" w:color="auto"/>
          </w:divBdr>
        </w:div>
        <w:div w:id="1818108281">
          <w:marLeft w:val="187"/>
          <w:marRight w:val="0"/>
          <w:marTop w:val="0"/>
          <w:marBottom w:val="0"/>
          <w:divBdr>
            <w:top w:val="none" w:sz="0" w:space="0" w:color="auto"/>
            <w:left w:val="none" w:sz="0" w:space="0" w:color="auto"/>
            <w:bottom w:val="none" w:sz="0" w:space="0" w:color="auto"/>
            <w:right w:val="none" w:sz="0" w:space="0" w:color="auto"/>
          </w:divBdr>
        </w:div>
        <w:div w:id="1880318465">
          <w:marLeft w:val="187"/>
          <w:marRight w:val="0"/>
          <w:marTop w:val="0"/>
          <w:marBottom w:val="0"/>
          <w:divBdr>
            <w:top w:val="none" w:sz="0" w:space="0" w:color="auto"/>
            <w:left w:val="none" w:sz="0" w:space="0" w:color="auto"/>
            <w:bottom w:val="none" w:sz="0" w:space="0" w:color="auto"/>
            <w:right w:val="none" w:sz="0" w:space="0" w:color="auto"/>
          </w:divBdr>
        </w:div>
        <w:div w:id="1910992786">
          <w:marLeft w:val="187"/>
          <w:marRight w:val="0"/>
          <w:marTop w:val="0"/>
          <w:marBottom w:val="0"/>
          <w:divBdr>
            <w:top w:val="none" w:sz="0" w:space="0" w:color="auto"/>
            <w:left w:val="none" w:sz="0" w:space="0" w:color="auto"/>
            <w:bottom w:val="none" w:sz="0" w:space="0" w:color="auto"/>
            <w:right w:val="none" w:sz="0" w:space="0" w:color="auto"/>
          </w:divBdr>
        </w:div>
        <w:div w:id="1937011609">
          <w:marLeft w:val="187"/>
          <w:marRight w:val="0"/>
          <w:marTop w:val="0"/>
          <w:marBottom w:val="0"/>
          <w:divBdr>
            <w:top w:val="none" w:sz="0" w:space="0" w:color="auto"/>
            <w:left w:val="none" w:sz="0" w:space="0" w:color="auto"/>
            <w:bottom w:val="none" w:sz="0" w:space="0" w:color="auto"/>
            <w:right w:val="none" w:sz="0" w:space="0" w:color="auto"/>
          </w:divBdr>
        </w:div>
        <w:div w:id="1946185201">
          <w:marLeft w:val="187"/>
          <w:marRight w:val="0"/>
          <w:marTop w:val="0"/>
          <w:marBottom w:val="0"/>
          <w:divBdr>
            <w:top w:val="none" w:sz="0" w:space="0" w:color="auto"/>
            <w:left w:val="none" w:sz="0" w:space="0" w:color="auto"/>
            <w:bottom w:val="none" w:sz="0" w:space="0" w:color="auto"/>
            <w:right w:val="none" w:sz="0" w:space="0" w:color="auto"/>
          </w:divBdr>
        </w:div>
        <w:div w:id="1976907972">
          <w:marLeft w:val="187"/>
          <w:marRight w:val="0"/>
          <w:marTop w:val="0"/>
          <w:marBottom w:val="0"/>
          <w:divBdr>
            <w:top w:val="none" w:sz="0" w:space="0" w:color="auto"/>
            <w:left w:val="none" w:sz="0" w:space="0" w:color="auto"/>
            <w:bottom w:val="none" w:sz="0" w:space="0" w:color="auto"/>
            <w:right w:val="none" w:sz="0" w:space="0" w:color="auto"/>
          </w:divBdr>
        </w:div>
        <w:div w:id="2006930358">
          <w:marLeft w:val="187"/>
          <w:marRight w:val="0"/>
          <w:marTop w:val="0"/>
          <w:marBottom w:val="0"/>
          <w:divBdr>
            <w:top w:val="none" w:sz="0" w:space="0" w:color="auto"/>
            <w:left w:val="none" w:sz="0" w:space="0" w:color="auto"/>
            <w:bottom w:val="none" w:sz="0" w:space="0" w:color="auto"/>
            <w:right w:val="none" w:sz="0" w:space="0" w:color="auto"/>
          </w:divBdr>
        </w:div>
        <w:div w:id="2008820801">
          <w:marLeft w:val="187"/>
          <w:marRight w:val="0"/>
          <w:marTop w:val="0"/>
          <w:marBottom w:val="0"/>
          <w:divBdr>
            <w:top w:val="none" w:sz="0" w:space="0" w:color="auto"/>
            <w:left w:val="none" w:sz="0" w:space="0" w:color="auto"/>
            <w:bottom w:val="none" w:sz="0" w:space="0" w:color="auto"/>
            <w:right w:val="none" w:sz="0" w:space="0" w:color="auto"/>
          </w:divBdr>
        </w:div>
        <w:div w:id="2039812857">
          <w:marLeft w:val="187"/>
          <w:marRight w:val="0"/>
          <w:marTop w:val="0"/>
          <w:marBottom w:val="0"/>
          <w:divBdr>
            <w:top w:val="none" w:sz="0" w:space="0" w:color="auto"/>
            <w:left w:val="none" w:sz="0" w:space="0" w:color="auto"/>
            <w:bottom w:val="none" w:sz="0" w:space="0" w:color="auto"/>
            <w:right w:val="none" w:sz="0" w:space="0" w:color="auto"/>
          </w:divBdr>
        </w:div>
        <w:div w:id="2050765333">
          <w:marLeft w:val="187"/>
          <w:marRight w:val="0"/>
          <w:marTop w:val="0"/>
          <w:marBottom w:val="0"/>
          <w:divBdr>
            <w:top w:val="none" w:sz="0" w:space="0" w:color="auto"/>
            <w:left w:val="none" w:sz="0" w:space="0" w:color="auto"/>
            <w:bottom w:val="none" w:sz="0" w:space="0" w:color="auto"/>
            <w:right w:val="none" w:sz="0" w:space="0" w:color="auto"/>
          </w:divBdr>
        </w:div>
        <w:div w:id="2061442472">
          <w:marLeft w:val="187"/>
          <w:marRight w:val="0"/>
          <w:marTop w:val="0"/>
          <w:marBottom w:val="0"/>
          <w:divBdr>
            <w:top w:val="none" w:sz="0" w:space="0" w:color="auto"/>
            <w:left w:val="none" w:sz="0" w:space="0" w:color="auto"/>
            <w:bottom w:val="none" w:sz="0" w:space="0" w:color="auto"/>
            <w:right w:val="none" w:sz="0" w:space="0" w:color="auto"/>
          </w:divBdr>
        </w:div>
        <w:div w:id="2134211127">
          <w:marLeft w:val="18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5AIRPNAIUNRU-859666464-7521</_dlc_DocId>
    <_dlc_DocIdUrl xmlns="71c5aaf6-e6ce-465b-b873-5148d2a4c105">
      <Url>https://nokia.sharepoint.com/sites/c5g/e2earch/_layouts/15/DocIdRedir.aspx?ID=5AIRPNAIUNRU-859666464-7521</Url>
      <Description>5AIRPNAIUNRU-859666464-7521</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8</Pages>
  <Words>3605</Words>
  <Characters>20555</Characters>
  <Application>Microsoft Office Word</Application>
  <DocSecurity>0</DocSecurity>
  <Lines>171</Lines>
  <Paragraphs>48</Paragraphs>
  <ScaleCrop>false</ScaleCrop>
  <Manager/>
  <Company>Nokia</Company>
  <LinksUpToDate>false</LinksUpToDate>
  <CharactersWithSpaces>24112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Ping Yuan</cp:lastModifiedBy>
  <cp:revision>230</cp:revision>
  <dcterms:created xsi:type="dcterms:W3CDTF">2016-08-12T03:53:00Z</dcterms:created>
  <dcterms:modified xsi:type="dcterms:W3CDTF">2020-10-23T05:43:00Z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69fc489d-858b-40b1-9701-c2950c0abc29</vt:lpwstr>
  </property>
</Properties>
</file>